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DD3" w:rsidRDefault="00110DD3" w:rsidP="00257ACD">
      <w:pPr>
        <w:spacing w:line="408" w:lineRule="auto"/>
        <w:ind w:left="360"/>
        <w:jc w:val="both"/>
        <w:rPr>
          <w:b/>
          <w:sz w:val="28"/>
          <w:szCs w:val="28"/>
        </w:rPr>
      </w:pPr>
      <w:r>
        <w:rPr>
          <w:b/>
          <w:sz w:val="28"/>
          <w:szCs w:val="28"/>
        </w:rPr>
        <w:t>TERRAZZE A LIVELLO E LASTRICI SOLARI</w:t>
      </w:r>
    </w:p>
    <w:p w:rsidR="00FE75DB" w:rsidRDefault="00A34C27" w:rsidP="00FE75DB">
      <w:pPr>
        <w:spacing w:line="408" w:lineRule="auto"/>
        <w:ind w:left="360"/>
        <w:jc w:val="both"/>
        <w:rPr>
          <w:sz w:val="28"/>
          <w:szCs w:val="28"/>
        </w:rPr>
      </w:pPr>
      <w:r>
        <w:rPr>
          <w:sz w:val="28"/>
          <w:szCs w:val="28"/>
        </w:rPr>
        <w:t>Avv. Pier Paolo Capponi</w:t>
      </w:r>
    </w:p>
    <w:p w:rsidR="00FE75DB" w:rsidRDefault="00FE75DB" w:rsidP="00FE75DB">
      <w:pPr>
        <w:spacing w:line="408" w:lineRule="auto"/>
        <w:ind w:left="360"/>
        <w:jc w:val="both"/>
        <w:rPr>
          <w:sz w:val="28"/>
          <w:szCs w:val="28"/>
        </w:rPr>
      </w:pPr>
    </w:p>
    <w:p w:rsidR="00A16BD2" w:rsidRDefault="00A16BD2" w:rsidP="00FE75DB">
      <w:pPr>
        <w:spacing w:line="408" w:lineRule="auto"/>
        <w:ind w:left="360"/>
        <w:jc w:val="both"/>
        <w:rPr>
          <w:sz w:val="28"/>
          <w:szCs w:val="28"/>
        </w:rPr>
      </w:pPr>
      <w:r>
        <w:rPr>
          <w:sz w:val="28"/>
          <w:szCs w:val="28"/>
        </w:rPr>
        <w:t xml:space="preserve">Non più di tre mesi fa redigevo </w:t>
      </w:r>
      <w:r w:rsidR="006D1002">
        <w:rPr>
          <w:sz w:val="28"/>
          <w:szCs w:val="28"/>
        </w:rPr>
        <w:t xml:space="preserve">per questa rivista </w:t>
      </w:r>
      <w:r>
        <w:rPr>
          <w:sz w:val="28"/>
          <w:szCs w:val="28"/>
        </w:rPr>
        <w:t xml:space="preserve">un articolo </w:t>
      </w:r>
      <w:r w:rsidR="00603035">
        <w:rPr>
          <w:sz w:val="28"/>
          <w:szCs w:val="28"/>
        </w:rPr>
        <w:t>dal medesimo titolo di quello attuale</w:t>
      </w:r>
      <w:r w:rsidR="00D3315C">
        <w:rPr>
          <w:sz w:val="28"/>
          <w:szCs w:val="28"/>
        </w:rPr>
        <w:t>,</w:t>
      </w:r>
      <w:r w:rsidR="00603035">
        <w:rPr>
          <w:sz w:val="28"/>
          <w:szCs w:val="28"/>
        </w:rPr>
        <w:t xml:space="preserve"> </w:t>
      </w:r>
      <w:r>
        <w:rPr>
          <w:sz w:val="28"/>
          <w:szCs w:val="28"/>
        </w:rPr>
        <w:t xml:space="preserve">nel quale davo atto che secondo la giurisprudenza della Suprema Corte, pur avendo i lastrici solari e le terrazze a livello delle funzioni diverse, la </w:t>
      </w:r>
      <w:r w:rsidR="00D3315C">
        <w:rPr>
          <w:sz w:val="28"/>
          <w:szCs w:val="28"/>
        </w:rPr>
        <w:t xml:space="preserve">loro </w:t>
      </w:r>
      <w:r>
        <w:rPr>
          <w:sz w:val="28"/>
          <w:szCs w:val="28"/>
        </w:rPr>
        <w:t>d</w:t>
      </w:r>
      <w:r w:rsidR="00603035">
        <w:rPr>
          <w:sz w:val="28"/>
          <w:szCs w:val="28"/>
        </w:rPr>
        <w:t xml:space="preserve">isciplina </w:t>
      </w:r>
      <w:r w:rsidR="00D3315C">
        <w:rPr>
          <w:sz w:val="28"/>
          <w:szCs w:val="28"/>
        </w:rPr>
        <w:t>giuridica era</w:t>
      </w:r>
      <w:r>
        <w:rPr>
          <w:sz w:val="28"/>
          <w:szCs w:val="28"/>
        </w:rPr>
        <w:t xml:space="preserve"> </w:t>
      </w:r>
      <w:r w:rsidR="00FC36BB">
        <w:rPr>
          <w:sz w:val="28"/>
          <w:szCs w:val="28"/>
        </w:rPr>
        <w:t xml:space="preserve">sempre </w:t>
      </w:r>
      <w:r>
        <w:rPr>
          <w:sz w:val="28"/>
          <w:szCs w:val="28"/>
        </w:rPr>
        <w:t>la stessa.</w:t>
      </w:r>
    </w:p>
    <w:p w:rsidR="00256CD2" w:rsidRDefault="00256CD2" w:rsidP="00FE75DB">
      <w:pPr>
        <w:spacing w:line="408" w:lineRule="auto"/>
        <w:ind w:left="360"/>
        <w:jc w:val="both"/>
        <w:rPr>
          <w:sz w:val="28"/>
          <w:szCs w:val="28"/>
        </w:rPr>
      </w:pPr>
      <w:r>
        <w:rPr>
          <w:sz w:val="28"/>
          <w:szCs w:val="28"/>
        </w:rPr>
        <w:t>Richiamavo a tal proposito l’esistenza di svariate sentenze</w:t>
      </w:r>
      <w:r w:rsidR="00B71CF8">
        <w:rPr>
          <w:sz w:val="28"/>
          <w:szCs w:val="28"/>
        </w:rPr>
        <w:t xml:space="preserve"> della Cassazione (una ottenuta anche dallo scrivente)</w:t>
      </w:r>
      <w:r>
        <w:rPr>
          <w:sz w:val="28"/>
          <w:szCs w:val="28"/>
        </w:rPr>
        <w:t>, nessuna contraria.</w:t>
      </w:r>
    </w:p>
    <w:p w:rsidR="00A16BD2" w:rsidRDefault="00FC36BB" w:rsidP="00FE75DB">
      <w:pPr>
        <w:spacing w:line="408" w:lineRule="auto"/>
        <w:ind w:left="360"/>
        <w:jc w:val="both"/>
        <w:rPr>
          <w:sz w:val="28"/>
          <w:szCs w:val="28"/>
        </w:rPr>
      </w:pPr>
      <w:r>
        <w:rPr>
          <w:sz w:val="28"/>
          <w:szCs w:val="28"/>
        </w:rPr>
        <w:t>Dette decisioni avevano avuto cura di precisare che</w:t>
      </w:r>
      <w:r w:rsidR="00A16BD2">
        <w:rPr>
          <w:sz w:val="28"/>
          <w:szCs w:val="28"/>
        </w:rPr>
        <w:t xml:space="preserve"> anche nel caso di </w:t>
      </w:r>
      <w:r>
        <w:rPr>
          <w:sz w:val="28"/>
          <w:szCs w:val="28"/>
        </w:rPr>
        <w:t xml:space="preserve">una terrazza a livello che copriva </w:t>
      </w:r>
      <w:r w:rsidR="00A16BD2">
        <w:rPr>
          <w:sz w:val="28"/>
          <w:szCs w:val="28"/>
        </w:rPr>
        <w:t xml:space="preserve">un solo immobile, </w:t>
      </w:r>
      <w:r>
        <w:rPr>
          <w:sz w:val="28"/>
          <w:szCs w:val="28"/>
        </w:rPr>
        <w:t xml:space="preserve">e quindi in qualsiasi caso esistesse una terrazza a livello, </w:t>
      </w:r>
      <w:r w:rsidR="00A16BD2">
        <w:rPr>
          <w:sz w:val="28"/>
          <w:szCs w:val="28"/>
        </w:rPr>
        <w:t xml:space="preserve">la norma da </w:t>
      </w:r>
      <w:r w:rsidR="00B71CF8">
        <w:rPr>
          <w:sz w:val="28"/>
          <w:szCs w:val="28"/>
        </w:rPr>
        <w:t>usare era semp</w:t>
      </w:r>
      <w:r>
        <w:rPr>
          <w:sz w:val="28"/>
          <w:szCs w:val="28"/>
        </w:rPr>
        <w:t>re</w:t>
      </w:r>
      <w:r w:rsidR="00A16BD2">
        <w:rPr>
          <w:sz w:val="28"/>
          <w:szCs w:val="28"/>
        </w:rPr>
        <w:t xml:space="preserve"> l’art. 1126 c.c., che prevede la suddivisione della spesa </w:t>
      </w:r>
      <w:r w:rsidR="00D3315C">
        <w:rPr>
          <w:sz w:val="28"/>
          <w:szCs w:val="28"/>
        </w:rPr>
        <w:t xml:space="preserve">per </w:t>
      </w:r>
      <w:r w:rsidR="00A16BD2">
        <w:rPr>
          <w:sz w:val="28"/>
          <w:szCs w:val="28"/>
        </w:rPr>
        <w:t xml:space="preserve">un terzo a carico del proprietario o usuario della terrazza </w:t>
      </w:r>
      <w:r w:rsidR="00D3315C">
        <w:rPr>
          <w:sz w:val="28"/>
          <w:szCs w:val="28"/>
        </w:rPr>
        <w:t xml:space="preserve">a livello </w:t>
      </w:r>
      <w:r w:rsidR="00A16BD2">
        <w:rPr>
          <w:sz w:val="28"/>
          <w:szCs w:val="28"/>
        </w:rPr>
        <w:t xml:space="preserve">e </w:t>
      </w:r>
      <w:r w:rsidR="00D3315C">
        <w:rPr>
          <w:sz w:val="28"/>
          <w:szCs w:val="28"/>
        </w:rPr>
        <w:t xml:space="preserve">per </w:t>
      </w:r>
      <w:r w:rsidR="00A16BD2">
        <w:rPr>
          <w:sz w:val="28"/>
          <w:szCs w:val="28"/>
        </w:rPr>
        <w:t xml:space="preserve">due terzi a carico del proprietario dell’immobile </w:t>
      </w:r>
      <w:r>
        <w:rPr>
          <w:sz w:val="28"/>
          <w:szCs w:val="28"/>
        </w:rPr>
        <w:t>o degli immobili che ne sono coperti</w:t>
      </w:r>
      <w:r w:rsidR="00A16BD2">
        <w:rPr>
          <w:sz w:val="28"/>
          <w:szCs w:val="28"/>
        </w:rPr>
        <w:t>.</w:t>
      </w:r>
    </w:p>
    <w:p w:rsidR="00A16BD2" w:rsidRDefault="00A16BD2" w:rsidP="00FE75DB">
      <w:pPr>
        <w:spacing w:line="408" w:lineRule="auto"/>
        <w:ind w:left="360"/>
        <w:jc w:val="both"/>
        <w:rPr>
          <w:sz w:val="28"/>
          <w:szCs w:val="28"/>
        </w:rPr>
      </w:pPr>
      <w:r>
        <w:rPr>
          <w:sz w:val="28"/>
          <w:szCs w:val="28"/>
        </w:rPr>
        <w:t>Sennonché, c</w:t>
      </w:r>
      <w:r w:rsidR="00FC36BB">
        <w:rPr>
          <w:sz w:val="28"/>
          <w:szCs w:val="28"/>
        </w:rPr>
        <w:t>on tutti i prevedibili</w:t>
      </w:r>
      <w:r w:rsidR="00256CD2">
        <w:rPr>
          <w:sz w:val="28"/>
          <w:szCs w:val="28"/>
        </w:rPr>
        <w:t xml:space="preserve"> commenti </w:t>
      </w:r>
      <w:r w:rsidR="00D3315C">
        <w:rPr>
          <w:sz w:val="28"/>
          <w:szCs w:val="28"/>
        </w:rPr>
        <w:t xml:space="preserve">negativi </w:t>
      </w:r>
      <w:r w:rsidR="006D1002">
        <w:rPr>
          <w:sz w:val="28"/>
          <w:szCs w:val="28"/>
        </w:rPr>
        <w:t xml:space="preserve">riguardo </w:t>
      </w:r>
      <w:r>
        <w:rPr>
          <w:sz w:val="28"/>
          <w:szCs w:val="28"/>
        </w:rPr>
        <w:t xml:space="preserve">la </w:t>
      </w:r>
      <w:r w:rsidR="00FC36BB">
        <w:rPr>
          <w:sz w:val="28"/>
          <w:szCs w:val="28"/>
        </w:rPr>
        <w:t>certezza del diritto</w:t>
      </w:r>
      <w:r>
        <w:rPr>
          <w:sz w:val="28"/>
          <w:szCs w:val="28"/>
        </w:rPr>
        <w:t>, nel corrente mese di settembre è uscita una sentenza che sembra rimettere tutto in discussione.</w:t>
      </w:r>
    </w:p>
    <w:p w:rsidR="00A16BD2" w:rsidRDefault="00A16BD2" w:rsidP="00FE75DB">
      <w:pPr>
        <w:spacing w:line="408" w:lineRule="auto"/>
        <w:ind w:left="360"/>
        <w:jc w:val="both"/>
        <w:rPr>
          <w:i/>
          <w:sz w:val="28"/>
          <w:szCs w:val="28"/>
        </w:rPr>
      </w:pPr>
      <w:r>
        <w:rPr>
          <w:sz w:val="28"/>
          <w:szCs w:val="28"/>
        </w:rPr>
        <w:t xml:space="preserve">Si tratta della decisione n. 21337 del 14/9/2017 la quale, operando un vero e proprio </w:t>
      </w:r>
      <w:proofErr w:type="spellStart"/>
      <w:r w:rsidRPr="00A16BD2">
        <w:rPr>
          <w:i/>
          <w:sz w:val="28"/>
          <w:szCs w:val="28"/>
        </w:rPr>
        <w:t>revirement</w:t>
      </w:r>
      <w:proofErr w:type="spellEnd"/>
      <w:r>
        <w:rPr>
          <w:sz w:val="28"/>
          <w:szCs w:val="28"/>
        </w:rPr>
        <w:t xml:space="preserve"> giurisprudenziale ha deciso che </w:t>
      </w:r>
      <w:r w:rsidR="00603035">
        <w:rPr>
          <w:sz w:val="28"/>
          <w:szCs w:val="28"/>
        </w:rPr>
        <w:t>“</w:t>
      </w:r>
      <w:r w:rsidRPr="004E35F2">
        <w:rPr>
          <w:b/>
          <w:i/>
          <w:sz w:val="28"/>
          <w:szCs w:val="28"/>
        </w:rPr>
        <w:t>nelle</w:t>
      </w:r>
      <w:r w:rsidRPr="00603035">
        <w:rPr>
          <w:i/>
          <w:sz w:val="28"/>
          <w:szCs w:val="28"/>
        </w:rPr>
        <w:t xml:space="preserve"> </w:t>
      </w:r>
      <w:r w:rsidRPr="00603035">
        <w:rPr>
          <w:b/>
          <w:i/>
          <w:sz w:val="28"/>
          <w:szCs w:val="28"/>
        </w:rPr>
        <w:t>ipotesi in cui ad una terrazza a livello sia sottoposto un solo locale</w:t>
      </w:r>
      <w:r w:rsidRPr="00603035">
        <w:rPr>
          <w:i/>
          <w:sz w:val="28"/>
          <w:szCs w:val="28"/>
        </w:rPr>
        <w:t>, ove le relative spese di manutenzione vengano regolate alla stregua </w:t>
      </w:r>
      <w:hyperlink r:id="rId5" w:history="1">
        <w:r w:rsidRPr="00603035">
          <w:rPr>
            <w:i/>
            <w:sz w:val="28"/>
            <w:szCs w:val="28"/>
          </w:rPr>
          <w:t>dell'art. 1126 c.c.</w:t>
        </w:r>
      </w:hyperlink>
      <w:r w:rsidRPr="00603035">
        <w:rPr>
          <w:i/>
          <w:sz w:val="28"/>
          <w:szCs w:val="28"/>
        </w:rPr>
        <w:t>, e non </w:t>
      </w:r>
      <w:hyperlink r:id="rId6" w:history="1">
        <w:r w:rsidRPr="00603035">
          <w:rPr>
            <w:i/>
            <w:sz w:val="28"/>
            <w:szCs w:val="28"/>
          </w:rPr>
          <w:t>dell'art. 1125 c.c.</w:t>
        </w:r>
      </w:hyperlink>
      <w:r w:rsidRPr="00603035">
        <w:rPr>
          <w:i/>
          <w:sz w:val="28"/>
          <w:szCs w:val="28"/>
        </w:rPr>
        <w:t xml:space="preserve">, si finisce per porre a carico dell'unico condomino "coperto" i due terzi della spesa di </w:t>
      </w:r>
      <w:r w:rsidRPr="00603035">
        <w:rPr>
          <w:i/>
          <w:sz w:val="28"/>
          <w:szCs w:val="28"/>
        </w:rPr>
        <w:lastRenderedPageBreak/>
        <w:t>rifacimento, ovvero il doppio di quanto dovuto dall'utilizzatore esclusivo della terrazza, così vanificandosi la ratio </w:t>
      </w:r>
      <w:hyperlink r:id="rId7" w:history="1">
        <w:r w:rsidRPr="00603035">
          <w:rPr>
            <w:i/>
            <w:sz w:val="28"/>
            <w:szCs w:val="28"/>
          </w:rPr>
          <w:t>dell'art. 1126 c.c.</w:t>
        </w:r>
      </w:hyperlink>
      <w:r w:rsidRPr="00603035">
        <w:rPr>
          <w:i/>
          <w:sz w:val="28"/>
          <w:szCs w:val="28"/>
        </w:rPr>
        <w:t xml:space="preserve">: tale norma, infatti, intende dare maggiore rilievo alla </w:t>
      </w:r>
      <w:proofErr w:type="spellStart"/>
      <w:r w:rsidRPr="00603035">
        <w:rPr>
          <w:i/>
          <w:sz w:val="28"/>
          <w:szCs w:val="28"/>
        </w:rPr>
        <w:t>utilitas</w:t>
      </w:r>
      <w:proofErr w:type="spellEnd"/>
      <w:r w:rsidRPr="00603035">
        <w:rPr>
          <w:i/>
          <w:sz w:val="28"/>
          <w:szCs w:val="28"/>
        </w:rPr>
        <w:t xml:space="preserve"> ricavabile dal bene ulteriore a quella insita nella generale funzione di copertura, </w:t>
      </w:r>
      <w:proofErr w:type="spellStart"/>
      <w:r w:rsidRPr="00603035">
        <w:rPr>
          <w:i/>
          <w:sz w:val="28"/>
          <w:szCs w:val="28"/>
        </w:rPr>
        <w:t>sicchè</w:t>
      </w:r>
      <w:proofErr w:type="spellEnd"/>
      <w:r w:rsidRPr="00603035">
        <w:rPr>
          <w:i/>
          <w:sz w:val="28"/>
          <w:szCs w:val="28"/>
        </w:rPr>
        <w:t xml:space="preserve"> essa mira non soltanto a compensare il più rapido deterioramento del lastrico dovuto al diuturno calpestio sullo stesso, quanto soprattutto a non far gravare iniquamente sui soli condomini, ai quali il lastrico serve da copertura, una spesa che avvantaggia in maniera particolare chi da esso è in grado di trarre altri e diversi vantaggi. </w:t>
      </w:r>
      <w:r w:rsidRPr="00256CD2">
        <w:rPr>
          <w:b/>
          <w:i/>
          <w:sz w:val="28"/>
          <w:szCs w:val="28"/>
        </w:rPr>
        <w:t>Pertanto,</w:t>
      </w:r>
      <w:r w:rsidRPr="00603035">
        <w:rPr>
          <w:i/>
          <w:sz w:val="28"/>
          <w:szCs w:val="28"/>
        </w:rPr>
        <w:t xml:space="preserve"> </w:t>
      </w:r>
      <w:r w:rsidR="00FC36BB">
        <w:rPr>
          <w:b/>
          <w:i/>
          <w:sz w:val="28"/>
          <w:szCs w:val="28"/>
        </w:rPr>
        <w:t xml:space="preserve">in caso </w:t>
      </w:r>
      <w:r w:rsidRPr="00603035">
        <w:rPr>
          <w:b/>
          <w:i/>
          <w:sz w:val="28"/>
          <w:szCs w:val="28"/>
        </w:rPr>
        <w:t>di riparazione di terrazza a livello sovrastante un'unica unità immobiliare, ovvero un unico piano, si rende plausibile un'applicazione analogica </w:t>
      </w:r>
      <w:hyperlink r:id="rId8" w:history="1">
        <w:r w:rsidRPr="00603035">
          <w:rPr>
            <w:b/>
            <w:i/>
            <w:sz w:val="28"/>
            <w:szCs w:val="28"/>
          </w:rPr>
          <w:t>dell'art. 1125 c.c.</w:t>
        </w:r>
      </w:hyperlink>
      <w:r w:rsidRPr="00603035">
        <w:rPr>
          <w:i/>
          <w:sz w:val="28"/>
          <w:szCs w:val="28"/>
        </w:rPr>
        <w:t>, in maniera da dare pari incidenza alle funzioni di separazione in senso orizzontale, di sostegno e di copertura svolte dalla res.</w:t>
      </w:r>
    </w:p>
    <w:p w:rsidR="00FC36BB" w:rsidRDefault="00603035" w:rsidP="00FE75DB">
      <w:pPr>
        <w:spacing w:line="408" w:lineRule="auto"/>
        <w:ind w:left="360"/>
        <w:jc w:val="both"/>
        <w:rPr>
          <w:sz w:val="28"/>
          <w:szCs w:val="28"/>
        </w:rPr>
      </w:pPr>
      <w:r>
        <w:rPr>
          <w:sz w:val="28"/>
          <w:szCs w:val="28"/>
        </w:rPr>
        <w:t xml:space="preserve">Detta sentenza allarga </w:t>
      </w:r>
      <w:r w:rsidR="00256CD2">
        <w:rPr>
          <w:sz w:val="28"/>
          <w:szCs w:val="28"/>
        </w:rPr>
        <w:t>anche all’</w:t>
      </w:r>
      <w:r>
        <w:rPr>
          <w:sz w:val="28"/>
          <w:szCs w:val="28"/>
        </w:rPr>
        <w:t xml:space="preserve">ipotesi </w:t>
      </w:r>
      <w:r w:rsidR="00D3315C">
        <w:rPr>
          <w:sz w:val="28"/>
          <w:szCs w:val="28"/>
        </w:rPr>
        <w:t>in cui vi è</w:t>
      </w:r>
      <w:r w:rsidR="00840EB7">
        <w:rPr>
          <w:sz w:val="28"/>
          <w:szCs w:val="28"/>
        </w:rPr>
        <w:t xml:space="preserve"> un</w:t>
      </w:r>
      <w:r>
        <w:rPr>
          <w:sz w:val="28"/>
          <w:szCs w:val="28"/>
        </w:rPr>
        <w:t xml:space="preserve"> unico locale </w:t>
      </w:r>
      <w:r w:rsidR="00FC36BB">
        <w:rPr>
          <w:sz w:val="28"/>
          <w:szCs w:val="28"/>
        </w:rPr>
        <w:t xml:space="preserve">o </w:t>
      </w:r>
      <w:r w:rsidR="00D3315C">
        <w:rPr>
          <w:sz w:val="28"/>
          <w:szCs w:val="28"/>
        </w:rPr>
        <w:t xml:space="preserve">un unico </w:t>
      </w:r>
      <w:r w:rsidR="00FC36BB">
        <w:rPr>
          <w:sz w:val="28"/>
          <w:szCs w:val="28"/>
        </w:rPr>
        <w:t xml:space="preserve">piano </w:t>
      </w:r>
      <w:r>
        <w:rPr>
          <w:sz w:val="28"/>
          <w:szCs w:val="28"/>
        </w:rPr>
        <w:t>sottostante</w:t>
      </w:r>
      <w:r w:rsidR="00840EB7">
        <w:rPr>
          <w:sz w:val="28"/>
          <w:szCs w:val="28"/>
        </w:rPr>
        <w:t xml:space="preserve"> la terrazza a livello</w:t>
      </w:r>
      <w:r>
        <w:rPr>
          <w:sz w:val="28"/>
          <w:szCs w:val="28"/>
        </w:rPr>
        <w:t xml:space="preserve">, </w:t>
      </w:r>
      <w:r w:rsidR="00256CD2">
        <w:rPr>
          <w:sz w:val="28"/>
          <w:szCs w:val="28"/>
        </w:rPr>
        <w:t>le conclusioni previste</w:t>
      </w:r>
      <w:r>
        <w:rPr>
          <w:sz w:val="28"/>
          <w:szCs w:val="28"/>
        </w:rPr>
        <w:t xml:space="preserve"> in altre sentenze</w:t>
      </w:r>
      <w:r w:rsidR="00256CD2" w:rsidRPr="00256CD2">
        <w:rPr>
          <w:sz w:val="28"/>
          <w:szCs w:val="28"/>
        </w:rPr>
        <w:t> </w:t>
      </w:r>
      <w:r w:rsidR="00256CD2">
        <w:rPr>
          <w:sz w:val="28"/>
          <w:szCs w:val="28"/>
        </w:rPr>
        <w:t xml:space="preserve">(Cass. </w:t>
      </w:r>
      <w:r w:rsidR="00256CD2" w:rsidRPr="00256CD2">
        <w:rPr>
          <w:sz w:val="28"/>
          <w:szCs w:val="28"/>
        </w:rPr>
        <w:t>n. 12177</w:t>
      </w:r>
      <w:r w:rsidR="00256CD2">
        <w:rPr>
          <w:sz w:val="28"/>
          <w:szCs w:val="28"/>
        </w:rPr>
        <w:t xml:space="preserve">/17; Cass. </w:t>
      </w:r>
      <w:r w:rsidR="00256CD2" w:rsidRPr="00256CD2">
        <w:rPr>
          <w:sz w:val="28"/>
          <w:szCs w:val="28"/>
        </w:rPr>
        <w:t>n. 15841</w:t>
      </w:r>
      <w:r w:rsidR="00256CD2">
        <w:rPr>
          <w:sz w:val="28"/>
          <w:szCs w:val="28"/>
        </w:rPr>
        <w:t xml:space="preserve">/11; Cass. </w:t>
      </w:r>
      <w:r w:rsidR="00256CD2" w:rsidRPr="00256CD2">
        <w:rPr>
          <w:sz w:val="28"/>
          <w:szCs w:val="28"/>
        </w:rPr>
        <w:t>n. 10858</w:t>
      </w:r>
      <w:r w:rsidR="00256CD2">
        <w:rPr>
          <w:sz w:val="28"/>
          <w:szCs w:val="28"/>
        </w:rPr>
        <w:t xml:space="preserve">/10; Cass. </w:t>
      </w:r>
      <w:r w:rsidR="00256CD2" w:rsidRPr="00256CD2">
        <w:rPr>
          <w:sz w:val="28"/>
          <w:szCs w:val="28"/>
        </w:rPr>
        <w:t>n. 18194</w:t>
      </w:r>
      <w:r w:rsidR="00256CD2">
        <w:rPr>
          <w:sz w:val="28"/>
          <w:szCs w:val="28"/>
        </w:rPr>
        <w:t xml:space="preserve">/05) </w:t>
      </w:r>
      <w:r w:rsidR="00D3315C">
        <w:rPr>
          <w:sz w:val="28"/>
          <w:szCs w:val="28"/>
        </w:rPr>
        <w:t>riguardanti</w:t>
      </w:r>
      <w:r w:rsidR="00FC36BB">
        <w:rPr>
          <w:sz w:val="28"/>
          <w:szCs w:val="28"/>
        </w:rPr>
        <w:t xml:space="preserve"> il </w:t>
      </w:r>
      <w:r w:rsidR="00FC36BB" w:rsidRPr="00840EB7">
        <w:rPr>
          <w:b/>
          <w:sz w:val="28"/>
          <w:szCs w:val="28"/>
        </w:rPr>
        <w:t>differente caso</w:t>
      </w:r>
      <w:r w:rsidR="00FC36BB">
        <w:rPr>
          <w:sz w:val="28"/>
          <w:szCs w:val="28"/>
        </w:rPr>
        <w:t xml:space="preserve"> in cui </w:t>
      </w:r>
      <w:r>
        <w:rPr>
          <w:sz w:val="28"/>
          <w:szCs w:val="28"/>
        </w:rPr>
        <w:t>la terrazza a livello (</w:t>
      </w:r>
      <w:proofErr w:type="spellStart"/>
      <w:r>
        <w:rPr>
          <w:sz w:val="28"/>
          <w:szCs w:val="28"/>
        </w:rPr>
        <w:t>rectius</w:t>
      </w:r>
      <w:proofErr w:type="spellEnd"/>
      <w:r>
        <w:rPr>
          <w:sz w:val="28"/>
          <w:szCs w:val="28"/>
        </w:rPr>
        <w:t>, il cortile o il viale che copre delle unità immobiliari) è di proprietà condominiale</w:t>
      </w:r>
      <w:r w:rsidR="00FC36BB">
        <w:rPr>
          <w:sz w:val="28"/>
          <w:szCs w:val="28"/>
        </w:rPr>
        <w:t>.</w:t>
      </w:r>
    </w:p>
    <w:p w:rsidR="00B71CF8" w:rsidRDefault="00FC36BB" w:rsidP="00B71CF8">
      <w:pPr>
        <w:spacing w:line="408" w:lineRule="auto"/>
        <w:ind w:left="360"/>
        <w:jc w:val="both"/>
        <w:rPr>
          <w:i/>
          <w:sz w:val="28"/>
          <w:szCs w:val="28"/>
        </w:rPr>
      </w:pPr>
      <w:r>
        <w:rPr>
          <w:sz w:val="28"/>
          <w:szCs w:val="28"/>
        </w:rPr>
        <w:t>In questi casi la Suprema Corte, a prescindere dal fatto che ad essere coperti fossero uno o più o piani o uno o più locali, aveva stabilito che</w:t>
      </w:r>
      <w:r w:rsidR="00603035">
        <w:rPr>
          <w:sz w:val="28"/>
          <w:szCs w:val="28"/>
        </w:rPr>
        <w:t xml:space="preserve"> “</w:t>
      </w:r>
      <w:r w:rsidR="00603035" w:rsidRPr="00603035">
        <w:rPr>
          <w:i/>
          <w:sz w:val="28"/>
          <w:szCs w:val="28"/>
        </w:rPr>
        <w:t xml:space="preserve">qualora si debba procedere alla riparazione del </w:t>
      </w:r>
      <w:r w:rsidR="00603035" w:rsidRPr="00603035">
        <w:rPr>
          <w:b/>
          <w:i/>
          <w:sz w:val="28"/>
          <w:szCs w:val="28"/>
        </w:rPr>
        <w:t>cortile o viale di accesso all'edificio condominiale</w:t>
      </w:r>
      <w:r w:rsidR="00603035" w:rsidRPr="00603035">
        <w:rPr>
          <w:i/>
          <w:sz w:val="28"/>
          <w:szCs w:val="28"/>
        </w:rPr>
        <w:t xml:space="preserve">, che funga anche da copertura per i locali sotterranei di proprietà esclusiva di un singolo condomino, ai fini della ripartizione delle relative spese non si può ricorrere al </w:t>
      </w:r>
      <w:r w:rsidR="00603035" w:rsidRPr="00603035">
        <w:rPr>
          <w:i/>
          <w:sz w:val="28"/>
          <w:szCs w:val="28"/>
        </w:rPr>
        <w:lastRenderedPageBreak/>
        <w:t>criterio previsto </w:t>
      </w:r>
      <w:hyperlink r:id="rId9" w:history="1">
        <w:r w:rsidR="00603035" w:rsidRPr="00603035">
          <w:rPr>
            <w:i/>
            <w:sz w:val="28"/>
            <w:szCs w:val="28"/>
          </w:rPr>
          <w:t>dall'art. 1126 c.c.</w:t>
        </w:r>
      </w:hyperlink>
      <w:r w:rsidR="00603035" w:rsidRPr="00603035">
        <w:rPr>
          <w:i/>
          <w:sz w:val="28"/>
          <w:szCs w:val="28"/>
        </w:rPr>
        <w:t xml:space="preserve"> (sul presupposto dell'equiparazione del bene fuori dalla proiezione dell'immobile condominiale, ma al servizio di questo, ad una terrazza a livello), ma </w:t>
      </w:r>
      <w:r w:rsidR="00603035" w:rsidRPr="00D3315C">
        <w:rPr>
          <w:b/>
          <w:i/>
          <w:sz w:val="28"/>
          <w:szCs w:val="28"/>
        </w:rPr>
        <w:t>si deve, invece, procedere ad un'applicazione analogica </w:t>
      </w:r>
      <w:hyperlink r:id="rId10" w:history="1">
        <w:r w:rsidR="00603035" w:rsidRPr="00D3315C">
          <w:rPr>
            <w:b/>
            <w:i/>
            <w:sz w:val="28"/>
            <w:szCs w:val="28"/>
          </w:rPr>
          <w:t>dell'art. 1125 c.c.</w:t>
        </w:r>
      </w:hyperlink>
      <w:r w:rsidR="00603035" w:rsidRPr="00603035">
        <w:rPr>
          <w:i/>
          <w:sz w:val="28"/>
          <w:szCs w:val="28"/>
        </w:rPr>
        <w:t>, il quale accolla per intero le spese relative alla manutenzione della parte della struttura complessa identificantesi con il pavimento del piano superiore a chi, con l'uso esclusivo della stessa, determina la necessità dell'inerente manutenzione, in tal senso verificandosi un'applicazione particolare del principio generale dettato </w:t>
      </w:r>
      <w:hyperlink r:id="rId11" w:history="1">
        <w:r w:rsidR="00603035" w:rsidRPr="00603035">
          <w:rPr>
            <w:i/>
            <w:sz w:val="28"/>
            <w:szCs w:val="28"/>
          </w:rPr>
          <w:t>dall'art. 1123 c.c.</w:t>
        </w:r>
      </w:hyperlink>
      <w:r w:rsidR="00603035">
        <w:rPr>
          <w:i/>
          <w:sz w:val="28"/>
          <w:szCs w:val="28"/>
        </w:rPr>
        <w:t>, comma 2.”.</w:t>
      </w:r>
    </w:p>
    <w:p w:rsidR="00B71CF8" w:rsidRPr="00B71CF8" w:rsidRDefault="00B71CF8" w:rsidP="00B71CF8">
      <w:pPr>
        <w:spacing w:line="408" w:lineRule="auto"/>
        <w:ind w:left="360"/>
        <w:jc w:val="both"/>
        <w:rPr>
          <w:i/>
          <w:sz w:val="28"/>
          <w:szCs w:val="28"/>
        </w:rPr>
      </w:pPr>
      <w:r>
        <w:rPr>
          <w:sz w:val="28"/>
          <w:szCs w:val="28"/>
        </w:rPr>
        <w:t>In particolare con la sentenza n. 18194 del 2005, la Suprema Corte ha ritenuto che “</w:t>
      </w:r>
      <w:r w:rsidR="00D3315C" w:rsidRPr="00DF05E7">
        <w:rPr>
          <w:i/>
          <w:sz w:val="28"/>
          <w:szCs w:val="28"/>
        </w:rPr>
        <w:t xml:space="preserve">Nel caso </w:t>
      </w:r>
      <w:r w:rsidRPr="00DF05E7">
        <w:rPr>
          <w:i/>
          <w:sz w:val="28"/>
          <w:szCs w:val="28"/>
        </w:rPr>
        <w:t>in cui</w:t>
      </w:r>
      <w:r w:rsidRPr="00324376">
        <w:rPr>
          <w:b/>
          <w:i/>
          <w:sz w:val="28"/>
          <w:szCs w:val="28"/>
        </w:rPr>
        <w:t xml:space="preserve"> il solaio</w:t>
      </w:r>
      <w:r w:rsidRPr="00B71CF8">
        <w:rPr>
          <w:b/>
          <w:i/>
          <w:sz w:val="28"/>
          <w:szCs w:val="28"/>
        </w:rPr>
        <w:t xml:space="preserve"> di copertura di autorimesse (o di altri locali interrati) in proprietà singola</w:t>
      </w:r>
      <w:r w:rsidRPr="00B71CF8">
        <w:rPr>
          <w:i/>
          <w:sz w:val="28"/>
          <w:szCs w:val="28"/>
        </w:rPr>
        <w:t xml:space="preserve"> svolga anche la </w:t>
      </w:r>
      <w:r w:rsidRPr="00B71CF8">
        <w:rPr>
          <w:b/>
          <w:i/>
          <w:sz w:val="28"/>
          <w:szCs w:val="28"/>
        </w:rPr>
        <w:t>funzione di consentire l'accesso all'edificio condominiale</w:t>
      </w:r>
      <w:r w:rsidRPr="00B71CF8">
        <w:rPr>
          <w:i/>
          <w:sz w:val="28"/>
          <w:szCs w:val="28"/>
        </w:rPr>
        <w:t>, non si ha una utilizzazione particolare da parte di un condomino rispetto agli altri, ma una utilizzazione conforme alla destinazione tipica (anche se non esclusiva) di tale manufatto da parte di tutti i condomini.</w:t>
      </w:r>
    </w:p>
    <w:p w:rsidR="00B71CF8" w:rsidRPr="00B71CF8" w:rsidRDefault="00B71CF8" w:rsidP="00B71CF8">
      <w:pPr>
        <w:spacing w:line="408" w:lineRule="auto"/>
        <w:ind w:left="360"/>
        <w:jc w:val="both"/>
        <w:rPr>
          <w:i/>
          <w:sz w:val="28"/>
          <w:szCs w:val="28"/>
        </w:rPr>
      </w:pPr>
      <w:r w:rsidRPr="00B71CF8">
        <w:rPr>
          <w:i/>
          <w:sz w:val="28"/>
          <w:szCs w:val="28"/>
        </w:rPr>
        <w:t xml:space="preserve">Ove, poi, il solaio funga da </w:t>
      </w:r>
      <w:r w:rsidRPr="00B71CF8">
        <w:rPr>
          <w:b/>
          <w:i/>
          <w:sz w:val="28"/>
          <w:szCs w:val="28"/>
        </w:rPr>
        <w:t>cortile</w:t>
      </w:r>
      <w:r w:rsidRPr="00B71CF8">
        <w:rPr>
          <w:i/>
          <w:sz w:val="28"/>
          <w:szCs w:val="28"/>
        </w:rPr>
        <w:t xml:space="preserve"> e su di esso vengano consentiti il transito o la sosta degli autoveicoli, è evidente che a ciò è imputabile in maniera preponderante il degrado della pavimentazione, per cui sarebbe illogico accollare per un terzo le spese relative ai condomini dei locali sottostanti.</w:t>
      </w:r>
    </w:p>
    <w:p w:rsidR="00B71CF8" w:rsidRPr="00B71CF8" w:rsidRDefault="00B71CF8" w:rsidP="00B71CF8">
      <w:pPr>
        <w:spacing w:line="408" w:lineRule="auto"/>
        <w:ind w:left="360"/>
        <w:jc w:val="both"/>
        <w:rPr>
          <w:i/>
          <w:sz w:val="28"/>
          <w:szCs w:val="28"/>
        </w:rPr>
      </w:pPr>
      <w:r w:rsidRPr="00B71CF8">
        <w:rPr>
          <w:i/>
          <w:sz w:val="28"/>
          <w:szCs w:val="28"/>
        </w:rPr>
        <w:t>Ad una applicazione analogica </w:t>
      </w:r>
      <w:hyperlink r:id="rId12" w:history="1">
        <w:r w:rsidRPr="00B71CF8">
          <w:rPr>
            <w:i/>
            <w:sz w:val="28"/>
            <w:szCs w:val="28"/>
          </w:rPr>
          <w:t>dell'art. 1126 cod. civ.</w:t>
        </w:r>
      </w:hyperlink>
      <w:r w:rsidRPr="00B71CF8">
        <w:rPr>
          <w:i/>
          <w:sz w:val="28"/>
          <w:szCs w:val="28"/>
        </w:rPr>
        <w:t> osta anche la considerazione che può dubitarsi della razionalità della scelta del legislatore.</w:t>
      </w:r>
    </w:p>
    <w:p w:rsidR="00B71CF8" w:rsidRPr="00B71CF8" w:rsidRDefault="00B71CF8" w:rsidP="00B71CF8">
      <w:pPr>
        <w:spacing w:line="408" w:lineRule="auto"/>
        <w:ind w:left="360"/>
        <w:jc w:val="both"/>
        <w:rPr>
          <w:i/>
          <w:sz w:val="28"/>
          <w:szCs w:val="28"/>
        </w:rPr>
      </w:pPr>
      <w:r w:rsidRPr="00B71CF8">
        <w:rPr>
          <w:i/>
          <w:sz w:val="28"/>
          <w:szCs w:val="28"/>
        </w:rPr>
        <w:lastRenderedPageBreak/>
        <w:t>Se, infatti, può sembrare logico porre per un terzo a carico di chi ha la proprietà o l'uso esclusivo del lastrico solare le spese di riparazione o di manutenzione della pavimentazione (ivi compresa la parte destinata alla impermeabilizzazione), non altrettanto logico sembra porre in uguale misura a carico di tale oggetto le spese di riparazione della struttura portante del lastrico, essendo del tutto improbabile che le stesse siano rese necessarie dall'uso esclusivo.</w:t>
      </w:r>
    </w:p>
    <w:p w:rsidR="00B71CF8" w:rsidRPr="00B71CF8" w:rsidRDefault="00B71CF8" w:rsidP="00B71CF8">
      <w:pPr>
        <w:spacing w:line="408" w:lineRule="auto"/>
        <w:ind w:left="360"/>
        <w:jc w:val="both"/>
        <w:rPr>
          <w:i/>
          <w:sz w:val="28"/>
          <w:szCs w:val="28"/>
        </w:rPr>
      </w:pPr>
      <w:r w:rsidRPr="00B71CF8">
        <w:rPr>
          <w:b/>
          <w:i/>
          <w:sz w:val="28"/>
          <w:szCs w:val="28"/>
        </w:rPr>
        <w:t>Sussistono, invece, le condizioni per una applicazione analogica </w:t>
      </w:r>
      <w:hyperlink r:id="rId13" w:history="1">
        <w:r w:rsidRPr="00D3315C">
          <w:rPr>
            <w:b/>
            <w:i/>
            <w:sz w:val="28"/>
            <w:szCs w:val="28"/>
          </w:rPr>
          <w:t>dell'art. 1125 cod. civ.</w:t>
        </w:r>
      </w:hyperlink>
      <w:r w:rsidRPr="00B71CF8">
        <w:rPr>
          <w:i/>
          <w:sz w:val="28"/>
          <w:szCs w:val="28"/>
        </w:rPr>
        <w:t>, il quale stabilisce che le spese per la manutenzione e la ricostruzione dei soffitti, delle volte e dei solai sono sostenute in parti eguali dai proprietari dei due piani l'uno all'altro sovrastanti, restando a carico del proprietario del piano superiore la copertura del pavimento e a carico del proprietario del piano inferiore l'intonaco, la tinta e la decorazione del soffitto.</w:t>
      </w:r>
    </w:p>
    <w:p w:rsidR="00B71CF8" w:rsidRDefault="00B71CF8" w:rsidP="00DF05E7">
      <w:pPr>
        <w:spacing w:line="480" w:lineRule="auto"/>
        <w:ind w:left="360"/>
        <w:jc w:val="both"/>
        <w:rPr>
          <w:i/>
          <w:sz w:val="28"/>
          <w:szCs w:val="28"/>
        </w:rPr>
      </w:pPr>
      <w:r w:rsidRPr="00B71CF8">
        <w:rPr>
          <w:i/>
          <w:sz w:val="28"/>
          <w:szCs w:val="28"/>
        </w:rPr>
        <w:t>Tale disposizione, infatti, accolla per intero le spese relative alla manutenzione di una parte di una struttura complessa (il pavimento del piano superiore) a chi con l'uso esclusivo della stessa determina la necessità di tale manutenzione, per cui si può dire che costituisce una applicazione particolare del principio dettato </w:t>
      </w:r>
      <w:hyperlink r:id="rId14" w:history="1">
        <w:r w:rsidRPr="00B71CF8">
          <w:rPr>
            <w:i/>
            <w:sz w:val="28"/>
            <w:szCs w:val="28"/>
          </w:rPr>
          <w:t>dall'art. 1123, secondo comma, cod. civ.</w:t>
        </w:r>
        <w:r w:rsidR="00DF05E7">
          <w:rPr>
            <w:i/>
            <w:sz w:val="28"/>
            <w:szCs w:val="28"/>
          </w:rPr>
          <w:t>”</w:t>
        </w:r>
        <w:r w:rsidRPr="00B71CF8">
          <w:rPr>
            <w:i/>
            <w:sz w:val="28"/>
            <w:szCs w:val="28"/>
          </w:rPr>
          <w:t>.</w:t>
        </w:r>
      </w:hyperlink>
    </w:p>
    <w:p w:rsidR="00256CD2" w:rsidRDefault="00256CD2" w:rsidP="00B71CF8">
      <w:pPr>
        <w:spacing w:line="408" w:lineRule="auto"/>
        <w:ind w:left="360"/>
        <w:jc w:val="both"/>
        <w:rPr>
          <w:sz w:val="28"/>
          <w:szCs w:val="28"/>
        </w:rPr>
      </w:pPr>
      <w:r>
        <w:rPr>
          <w:sz w:val="28"/>
          <w:szCs w:val="28"/>
        </w:rPr>
        <w:t>In buona sostanza</w:t>
      </w:r>
      <w:r w:rsidR="00840EB7">
        <w:rPr>
          <w:sz w:val="28"/>
          <w:szCs w:val="28"/>
        </w:rPr>
        <w:t>, ora -</w:t>
      </w:r>
      <w:r>
        <w:rPr>
          <w:sz w:val="28"/>
          <w:szCs w:val="28"/>
        </w:rPr>
        <w:t xml:space="preserve"> </w:t>
      </w:r>
      <w:r w:rsidR="00840EB7">
        <w:rPr>
          <w:sz w:val="28"/>
          <w:szCs w:val="28"/>
        </w:rPr>
        <w:t xml:space="preserve">con l’estensione di principi ricavati da altre sentenze, che </w:t>
      </w:r>
      <w:r w:rsidR="00D3315C">
        <w:rPr>
          <w:sz w:val="28"/>
          <w:szCs w:val="28"/>
        </w:rPr>
        <w:t>a mio parere,</w:t>
      </w:r>
      <w:r w:rsidR="00840EB7">
        <w:rPr>
          <w:sz w:val="28"/>
          <w:szCs w:val="28"/>
        </w:rPr>
        <w:t xml:space="preserve"> risolvendo casi diversi</w:t>
      </w:r>
      <w:r w:rsidR="00D3315C">
        <w:rPr>
          <w:sz w:val="28"/>
          <w:szCs w:val="28"/>
        </w:rPr>
        <w:t>,</w:t>
      </w:r>
      <w:r w:rsidR="00840EB7">
        <w:rPr>
          <w:sz w:val="28"/>
          <w:szCs w:val="28"/>
        </w:rPr>
        <w:t xml:space="preserve"> non sarebbero </w:t>
      </w:r>
      <w:r w:rsidR="006D1002">
        <w:rPr>
          <w:sz w:val="28"/>
          <w:szCs w:val="28"/>
        </w:rPr>
        <w:t>invece richiamabili</w:t>
      </w:r>
      <w:r w:rsidR="00D3315C">
        <w:rPr>
          <w:sz w:val="28"/>
          <w:szCs w:val="28"/>
        </w:rPr>
        <w:t xml:space="preserve"> </w:t>
      </w:r>
      <w:r w:rsidR="00840EB7">
        <w:rPr>
          <w:sz w:val="28"/>
          <w:szCs w:val="28"/>
        </w:rPr>
        <w:t xml:space="preserve">sic et simpliciter - </w:t>
      </w:r>
      <w:r>
        <w:rPr>
          <w:sz w:val="28"/>
          <w:szCs w:val="28"/>
        </w:rPr>
        <w:t>laddove si è</w:t>
      </w:r>
      <w:r w:rsidR="00603035">
        <w:rPr>
          <w:sz w:val="28"/>
          <w:szCs w:val="28"/>
        </w:rPr>
        <w:t xml:space="preserve"> in presenza di un unico locale </w:t>
      </w:r>
      <w:r>
        <w:rPr>
          <w:sz w:val="28"/>
          <w:szCs w:val="28"/>
        </w:rPr>
        <w:t xml:space="preserve">o </w:t>
      </w:r>
      <w:r w:rsidR="00840EB7">
        <w:rPr>
          <w:sz w:val="28"/>
          <w:szCs w:val="28"/>
        </w:rPr>
        <w:t xml:space="preserve">di un unico </w:t>
      </w:r>
      <w:r>
        <w:rPr>
          <w:sz w:val="28"/>
          <w:szCs w:val="28"/>
        </w:rPr>
        <w:t xml:space="preserve">piano </w:t>
      </w:r>
      <w:r w:rsidR="00603035">
        <w:rPr>
          <w:sz w:val="28"/>
          <w:szCs w:val="28"/>
        </w:rPr>
        <w:t xml:space="preserve">coperto </w:t>
      </w:r>
      <w:r w:rsidR="00B71CF8">
        <w:rPr>
          <w:sz w:val="28"/>
          <w:szCs w:val="28"/>
        </w:rPr>
        <w:t xml:space="preserve">da una terrazza a livello, </w:t>
      </w:r>
      <w:r w:rsidR="00603035">
        <w:rPr>
          <w:sz w:val="28"/>
          <w:szCs w:val="28"/>
        </w:rPr>
        <w:t>si deve applicare l’</w:t>
      </w:r>
      <w:r w:rsidR="00840EB7">
        <w:rPr>
          <w:sz w:val="28"/>
          <w:szCs w:val="28"/>
        </w:rPr>
        <w:t>art. 1125 c.c. sia nel caso in cui la terrazza</w:t>
      </w:r>
      <w:r>
        <w:rPr>
          <w:sz w:val="28"/>
          <w:szCs w:val="28"/>
        </w:rPr>
        <w:t xml:space="preserve"> è </w:t>
      </w:r>
      <w:r>
        <w:rPr>
          <w:sz w:val="28"/>
          <w:szCs w:val="28"/>
        </w:rPr>
        <w:lastRenderedPageBreak/>
        <w:t xml:space="preserve">condominiale sia </w:t>
      </w:r>
      <w:r w:rsidR="00840EB7">
        <w:rPr>
          <w:sz w:val="28"/>
          <w:szCs w:val="28"/>
        </w:rPr>
        <w:t>nel caso in cui essa, di proprietà o uso esclusivo,</w:t>
      </w:r>
      <w:bookmarkStart w:id="0" w:name="_GoBack"/>
      <w:bookmarkEnd w:id="0"/>
      <w:r w:rsidR="00840EB7">
        <w:rPr>
          <w:sz w:val="28"/>
          <w:szCs w:val="28"/>
        </w:rPr>
        <w:t xml:space="preserve"> </w:t>
      </w:r>
      <w:r w:rsidR="00D3315C">
        <w:rPr>
          <w:sz w:val="28"/>
          <w:szCs w:val="28"/>
        </w:rPr>
        <w:t>copre un unico locale o un unico</w:t>
      </w:r>
      <w:r>
        <w:rPr>
          <w:sz w:val="28"/>
          <w:szCs w:val="28"/>
        </w:rPr>
        <w:t xml:space="preserve"> piano.</w:t>
      </w:r>
    </w:p>
    <w:p w:rsidR="00B71CF8" w:rsidRPr="00B71CF8" w:rsidRDefault="00840EB7" w:rsidP="00B71CF8">
      <w:pPr>
        <w:spacing w:line="408" w:lineRule="auto"/>
        <w:ind w:left="360"/>
        <w:jc w:val="both"/>
        <w:rPr>
          <w:sz w:val="28"/>
          <w:szCs w:val="28"/>
        </w:rPr>
      </w:pPr>
      <w:r>
        <w:rPr>
          <w:sz w:val="28"/>
          <w:szCs w:val="28"/>
        </w:rPr>
        <w:t>Per completezza, r</w:t>
      </w:r>
      <w:r w:rsidR="00B71CF8">
        <w:rPr>
          <w:sz w:val="28"/>
          <w:szCs w:val="28"/>
        </w:rPr>
        <w:t>ammento che l’art. 1125 prevede che “</w:t>
      </w:r>
      <w:r w:rsidR="00B71CF8" w:rsidRPr="00B71CF8">
        <w:rPr>
          <w:i/>
          <w:sz w:val="28"/>
          <w:szCs w:val="28"/>
        </w:rPr>
        <w:t>le spese per la </w:t>
      </w:r>
      <w:hyperlink r:id="rId15" w:tooltip="Dizionario Giuridico: Manutenzione ordinaria" w:history="1">
        <w:r w:rsidR="00B71CF8" w:rsidRPr="00B71CF8">
          <w:rPr>
            <w:i/>
            <w:sz w:val="28"/>
            <w:szCs w:val="28"/>
          </w:rPr>
          <w:t>manutenzione</w:t>
        </w:r>
      </w:hyperlink>
      <w:r w:rsidR="00B71CF8" w:rsidRPr="00B71CF8">
        <w:rPr>
          <w:i/>
          <w:sz w:val="28"/>
          <w:szCs w:val="28"/>
        </w:rPr>
        <w:t> e ricostruzione dei </w:t>
      </w:r>
      <w:hyperlink r:id="rId16" w:tooltip="Dizionario Giuridico: Soffitto" w:history="1">
        <w:r w:rsidR="00B71CF8" w:rsidRPr="00B71CF8">
          <w:rPr>
            <w:i/>
            <w:sz w:val="28"/>
            <w:szCs w:val="28"/>
          </w:rPr>
          <w:t>soffitti</w:t>
        </w:r>
      </w:hyperlink>
      <w:r w:rsidR="00B71CF8" w:rsidRPr="00B71CF8">
        <w:rPr>
          <w:i/>
          <w:sz w:val="28"/>
          <w:szCs w:val="28"/>
        </w:rPr>
        <w:t>, delle </w:t>
      </w:r>
      <w:hyperlink r:id="rId17" w:tooltip="Dizionario Giuridico: Volta" w:history="1">
        <w:r w:rsidR="00B71CF8" w:rsidRPr="00B71CF8">
          <w:rPr>
            <w:i/>
            <w:sz w:val="28"/>
            <w:szCs w:val="28"/>
          </w:rPr>
          <w:t>volte</w:t>
        </w:r>
      </w:hyperlink>
      <w:r w:rsidR="00B71CF8">
        <w:rPr>
          <w:i/>
          <w:sz w:val="28"/>
          <w:szCs w:val="28"/>
        </w:rPr>
        <w:t xml:space="preserve"> </w:t>
      </w:r>
      <w:r w:rsidR="00B71CF8" w:rsidRPr="00B71CF8">
        <w:rPr>
          <w:i/>
          <w:sz w:val="28"/>
          <w:szCs w:val="28"/>
        </w:rPr>
        <w:t>e dei </w:t>
      </w:r>
      <w:hyperlink r:id="rId18" w:tooltip="Dizionario Giuridico: Solaio" w:history="1">
        <w:r w:rsidR="00B71CF8" w:rsidRPr="00B71CF8">
          <w:rPr>
            <w:i/>
            <w:sz w:val="28"/>
            <w:szCs w:val="28"/>
          </w:rPr>
          <w:t>solai</w:t>
        </w:r>
      </w:hyperlink>
      <w:r w:rsidR="00B71CF8" w:rsidRPr="00B71CF8">
        <w:rPr>
          <w:i/>
          <w:sz w:val="28"/>
          <w:szCs w:val="28"/>
        </w:rPr>
        <w:t> sono sostenute in parti eguali  dai proprietari dei due piani  l'uno all'altro sovrastanti, restando a carico del proprietario del piano superiore la copertura del pavimento e a carico del proprietario del piano inferiore l'</w:t>
      </w:r>
      <w:hyperlink r:id="rId19" w:tooltip="Dizionario Giuridico: Intonaco" w:history="1">
        <w:r w:rsidR="00B71CF8" w:rsidRPr="00B71CF8">
          <w:rPr>
            <w:i/>
            <w:sz w:val="28"/>
            <w:szCs w:val="28"/>
          </w:rPr>
          <w:t>intonaco</w:t>
        </w:r>
      </w:hyperlink>
      <w:r w:rsidR="00B71CF8" w:rsidRPr="00B71CF8">
        <w:rPr>
          <w:i/>
          <w:sz w:val="28"/>
          <w:szCs w:val="28"/>
        </w:rPr>
        <w:t>, la tinta e la decorazione del soffitto.</w:t>
      </w:r>
      <w:r w:rsidR="00B71CF8">
        <w:rPr>
          <w:sz w:val="28"/>
          <w:szCs w:val="28"/>
        </w:rPr>
        <w:t>”.</w:t>
      </w:r>
    </w:p>
    <w:p w:rsidR="00A16BD2" w:rsidRPr="00A16BD2" w:rsidRDefault="00A16BD2" w:rsidP="00FE75DB">
      <w:pPr>
        <w:spacing w:line="408" w:lineRule="auto"/>
        <w:ind w:left="360"/>
        <w:jc w:val="both"/>
        <w:rPr>
          <w:sz w:val="28"/>
          <w:szCs w:val="28"/>
        </w:rPr>
      </w:pPr>
      <w:r>
        <w:rPr>
          <w:sz w:val="28"/>
          <w:szCs w:val="28"/>
        </w:rPr>
        <w:t xml:space="preserve">Bisognerà ora vedere se si tratta di una cosiddetta </w:t>
      </w:r>
      <w:r w:rsidRPr="00A16BD2">
        <w:rPr>
          <w:i/>
          <w:sz w:val="28"/>
          <w:szCs w:val="28"/>
        </w:rPr>
        <w:t xml:space="preserve">rara </w:t>
      </w:r>
      <w:proofErr w:type="spellStart"/>
      <w:r w:rsidRPr="00A16BD2">
        <w:rPr>
          <w:i/>
          <w:sz w:val="28"/>
          <w:szCs w:val="28"/>
        </w:rPr>
        <w:t>avis</w:t>
      </w:r>
      <w:proofErr w:type="spellEnd"/>
      <w:r w:rsidR="006D1002">
        <w:rPr>
          <w:sz w:val="28"/>
          <w:szCs w:val="28"/>
        </w:rPr>
        <w:t xml:space="preserve"> (</w:t>
      </w:r>
      <w:r>
        <w:rPr>
          <w:sz w:val="28"/>
          <w:szCs w:val="28"/>
        </w:rPr>
        <w:t>uccello raro</w:t>
      </w:r>
      <w:r w:rsidR="006D1002">
        <w:rPr>
          <w:sz w:val="28"/>
          <w:szCs w:val="28"/>
        </w:rPr>
        <w:t>),</w:t>
      </w:r>
      <w:r w:rsidR="00256CD2">
        <w:rPr>
          <w:sz w:val="28"/>
          <w:szCs w:val="28"/>
        </w:rPr>
        <w:t xml:space="preserve"> </w:t>
      </w:r>
      <w:r w:rsidR="00D3315C">
        <w:rPr>
          <w:sz w:val="28"/>
          <w:szCs w:val="28"/>
        </w:rPr>
        <w:t xml:space="preserve">vale a dire di </w:t>
      </w:r>
      <w:r w:rsidR="00256CD2">
        <w:rPr>
          <w:sz w:val="28"/>
          <w:szCs w:val="28"/>
        </w:rPr>
        <w:t>una sentenza isolata, o se in</w:t>
      </w:r>
      <w:r>
        <w:rPr>
          <w:sz w:val="28"/>
          <w:szCs w:val="28"/>
        </w:rPr>
        <w:t xml:space="preserve">vece </w:t>
      </w:r>
      <w:r w:rsidR="00D3315C">
        <w:rPr>
          <w:sz w:val="28"/>
          <w:szCs w:val="28"/>
        </w:rPr>
        <w:t>essa</w:t>
      </w:r>
      <w:r w:rsidR="00256CD2">
        <w:rPr>
          <w:sz w:val="28"/>
          <w:szCs w:val="28"/>
        </w:rPr>
        <w:t xml:space="preserve"> </w:t>
      </w:r>
      <w:r>
        <w:rPr>
          <w:sz w:val="28"/>
          <w:szCs w:val="28"/>
        </w:rPr>
        <w:t xml:space="preserve">darà corso ad un nuovo </w:t>
      </w:r>
      <w:r w:rsidR="00256CD2">
        <w:rPr>
          <w:sz w:val="28"/>
          <w:szCs w:val="28"/>
        </w:rPr>
        <w:t xml:space="preserve">consolidato </w:t>
      </w:r>
      <w:r>
        <w:rPr>
          <w:sz w:val="28"/>
          <w:szCs w:val="28"/>
        </w:rPr>
        <w:t>orientamento.</w:t>
      </w:r>
    </w:p>
    <w:p w:rsidR="00A16BD2" w:rsidRDefault="00A16BD2" w:rsidP="00FE75DB">
      <w:pPr>
        <w:spacing w:line="408" w:lineRule="auto"/>
        <w:ind w:left="360"/>
        <w:jc w:val="both"/>
        <w:rPr>
          <w:sz w:val="28"/>
          <w:szCs w:val="28"/>
        </w:rPr>
      </w:pPr>
    </w:p>
    <w:p w:rsidR="00A16BD2" w:rsidRDefault="00A16BD2" w:rsidP="00FE75DB">
      <w:pPr>
        <w:spacing w:line="408" w:lineRule="auto"/>
        <w:ind w:left="360"/>
        <w:jc w:val="both"/>
        <w:rPr>
          <w:sz w:val="28"/>
          <w:szCs w:val="28"/>
        </w:rPr>
      </w:pPr>
    </w:p>
    <w:p w:rsidR="00D64E66" w:rsidRPr="00C45DEC" w:rsidRDefault="00D64E66" w:rsidP="00110DD3">
      <w:pPr>
        <w:spacing w:line="408" w:lineRule="auto"/>
        <w:ind w:left="360"/>
        <w:jc w:val="both"/>
        <w:rPr>
          <w:sz w:val="28"/>
          <w:szCs w:val="28"/>
        </w:rPr>
      </w:pPr>
    </w:p>
    <w:sectPr w:rsidR="00D64E66" w:rsidRPr="00C45DEC" w:rsidSect="00A268F5">
      <w:pgSz w:w="11906" w:h="16838"/>
      <w:pgMar w:top="1701" w:right="2155"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C2E"/>
    <w:multiLevelType w:val="hybridMultilevel"/>
    <w:tmpl w:val="E4AC159C"/>
    <w:lvl w:ilvl="0" w:tplc="04100011">
      <w:start w:val="1"/>
      <w:numFmt w:val="decimal"/>
      <w:lvlText w:val="%1)"/>
      <w:lvlJc w:val="left"/>
      <w:pPr>
        <w:tabs>
          <w:tab w:val="num" w:pos="720"/>
        </w:tabs>
        <w:ind w:left="720" w:hanging="36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1B3325A"/>
    <w:multiLevelType w:val="hybridMultilevel"/>
    <w:tmpl w:val="AE94D23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8D191F"/>
    <w:multiLevelType w:val="hybridMultilevel"/>
    <w:tmpl w:val="EF24BAF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B1D767F"/>
    <w:multiLevelType w:val="hybridMultilevel"/>
    <w:tmpl w:val="D2A6C694"/>
    <w:lvl w:ilvl="0" w:tplc="110E8340">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7C9203C"/>
    <w:multiLevelType w:val="hybridMultilevel"/>
    <w:tmpl w:val="BAC6E77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90F0022"/>
    <w:multiLevelType w:val="hybridMultilevel"/>
    <w:tmpl w:val="205EF91C"/>
    <w:lvl w:ilvl="0" w:tplc="766C9E22">
      <w:start w:val="1"/>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54B"/>
    <w:rsid w:val="0001006A"/>
    <w:rsid w:val="0001420D"/>
    <w:rsid w:val="00015121"/>
    <w:rsid w:val="00023F33"/>
    <w:rsid w:val="000462DD"/>
    <w:rsid w:val="00051E60"/>
    <w:rsid w:val="000576F8"/>
    <w:rsid w:val="000906D7"/>
    <w:rsid w:val="00093836"/>
    <w:rsid w:val="000A7F83"/>
    <w:rsid w:val="000C02DF"/>
    <w:rsid w:val="000C3B74"/>
    <w:rsid w:val="000C5BFE"/>
    <w:rsid w:val="000D2B4F"/>
    <w:rsid w:val="000D4224"/>
    <w:rsid w:val="000D48E2"/>
    <w:rsid w:val="00102AD3"/>
    <w:rsid w:val="00110DD3"/>
    <w:rsid w:val="00117853"/>
    <w:rsid w:val="00120954"/>
    <w:rsid w:val="001330A5"/>
    <w:rsid w:val="001358C7"/>
    <w:rsid w:val="00156BAC"/>
    <w:rsid w:val="00171E74"/>
    <w:rsid w:val="001732F2"/>
    <w:rsid w:val="0018178F"/>
    <w:rsid w:val="001A12D7"/>
    <w:rsid w:val="001B28F6"/>
    <w:rsid w:val="001D39D6"/>
    <w:rsid w:val="001E18FF"/>
    <w:rsid w:val="001E5006"/>
    <w:rsid w:val="001F1283"/>
    <w:rsid w:val="001F1D68"/>
    <w:rsid w:val="001F5AA9"/>
    <w:rsid w:val="00203A25"/>
    <w:rsid w:val="0020423B"/>
    <w:rsid w:val="002120B2"/>
    <w:rsid w:val="002131AA"/>
    <w:rsid w:val="00224691"/>
    <w:rsid w:val="002316F4"/>
    <w:rsid w:val="00237EBF"/>
    <w:rsid w:val="00250F18"/>
    <w:rsid w:val="00256CD2"/>
    <w:rsid w:val="00256CD4"/>
    <w:rsid w:val="00257ACD"/>
    <w:rsid w:val="002708A0"/>
    <w:rsid w:val="00280FEA"/>
    <w:rsid w:val="00281631"/>
    <w:rsid w:val="002A7510"/>
    <w:rsid w:val="002D19AC"/>
    <w:rsid w:val="002D330F"/>
    <w:rsid w:val="002D4110"/>
    <w:rsid w:val="002F1132"/>
    <w:rsid w:val="00324376"/>
    <w:rsid w:val="00372AAA"/>
    <w:rsid w:val="0037383E"/>
    <w:rsid w:val="00375555"/>
    <w:rsid w:val="00381739"/>
    <w:rsid w:val="00396313"/>
    <w:rsid w:val="003B516B"/>
    <w:rsid w:val="003C1A9D"/>
    <w:rsid w:val="003F4EAF"/>
    <w:rsid w:val="003F55D9"/>
    <w:rsid w:val="00410EC2"/>
    <w:rsid w:val="00416279"/>
    <w:rsid w:val="00430E3E"/>
    <w:rsid w:val="00432ADC"/>
    <w:rsid w:val="004371C2"/>
    <w:rsid w:val="00453F24"/>
    <w:rsid w:val="00475A8E"/>
    <w:rsid w:val="004A7B31"/>
    <w:rsid w:val="004C3DBB"/>
    <w:rsid w:val="004E35F2"/>
    <w:rsid w:val="004F5B5A"/>
    <w:rsid w:val="004F6FE8"/>
    <w:rsid w:val="00513AC6"/>
    <w:rsid w:val="005153EC"/>
    <w:rsid w:val="0051595C"/>
    <w:rsid w:val="00524CAA"/>
    <w:rsid w:val="005258C0"/>
    <w:rsid w:val="00531E66"/>
    <w:rsid w:val="00537CE7"/>
    <w:rsid w:val="00552CF8"/>
    <w:rsid w:val="00573289"/>
    <w:rsid w:val="005746CD"/>
    <w:rsid w:val="00574DA0"/>
    <w:rsid w:val="00587D6B"/>
    <w:rsid w:val="005B53D5"/>
    <w:rsid w:val="005C5FED"/>
    <w:rsid w:val="005D6025"/>
    <w:rsid w:val="006001C1"/>
    <w:rsid w:val="0060177C"/>
    <w:rsid w:val="00603035"/>
    <w:rsid w:val="006031B4"/>
    <w:rsid w:val="00610470"/>
    <w:rsid w:val="00622AC0"/>
    <w:rsid w:val="00636CA7"/>
    <w:rsid w:val="0066341C"/>
    <w:rsid w:val="0068450B"/>
    <w:rsid w:val="00685D28"/>
    <w:rsid w:val="0068606E"/>
    <w:rsid w:val="006879B5"/>
    <w:rsid w:val="006B7307"/>
    <w:rsid w:val="006D1002"/>
    <w:rsid w:val="00701629"/>
    <w:rsid w:val="00706CA3"/>
    <w:rsid w:val="0071142D"/>
    <w:rsid w:val="00717455"/>
    <w:rsid w:val="00725781"/>
    <w:rsid w:val="00731902"/>
    <w:rsid w:val="0073609A"/>
    <w:rsid w:val="00743D82"/>
    <w:rsid w:val="00745369"/>
    <w:rsid w:val="00762B99"/>
    <w:rsid w:val="00764660"/>
    <w:rsid w:val="00792948"/>
    <w:rsid w:val="00793452"/>
    <w:rsid w:val="007A7D7D"/>
    <w:rsid w:val="007C17BE"/>
    <w:rsid w:val="007D5BFC"/>
    <w:rsid w:val="007F0163"/>
    <w:rsid w:val="007F0733"/>
    <w:rsid w:val="007F4703"/>
    <w:rsid w:val="00806708"/>
    <w:rsid w:val="00817122"/>
    <w:rsid w:val="00826852"/>
    <w:rsid w:val="008331D8"/>
    <w:rsid w:val="00834607"/>
    <w:rsid w:val="00837C03"/>
    <w:rsid w:val="00840EB7"/>
    <w:rsid w:val="00841083"/>
    <w:rsid w:val="00846811"/>
    <w:rsid w:val="00861223"/>
    <w:rsid w:val="00870ABC"/>
    <w:rsid w:val="00870E44"/>
    <w:rsid w:val="008723EB"/>
    <w:rsid w:val="00882B4B"/>
    <w:rsid w:val="00883AED"/>
    <w:rsid w:val="00885EA0"/>
    <w:rsid w:val="008A769B"/>
    <w:rsid w:val="008C437E"/>
    <w:rsid w:val="008C5BC0"/>
    <w:rsid w:val="008D15B2"/>
    <w:rsid w:val="00905114"/>
    <w:rsid w:val="00905F3C"/>
    <w:rsid w:val="00913308"/>
    <w:rsid w:val="00921228"/>
    <w:rsid w:val="00921741"/>
    <w:rsid w:val="00924EFC"/>
    <w:rsid w:val="00935621"/>
    <w:rsid w:val="00962C58"/>
    <w:rsid w:val="0097654B"/>
    <w:rsid w:val="00977F63"/>
    <w:rsid w:val="00981B9E"/>
    <w:rsid w:val="00990EAB"/>
    <w:rsid w:val="009C45F9"/>
    <w:rsid w:val="009E56B6"/>
    <w:rsid w:val="009F765A"/>
    <w:rsid w:val="00A16BD2"/>
    <w:rsid w:val="00A268F5"/>
    <w:rsid w:val="00A34C27"/>
    <w:rsid w:val="00A42595"/>
    <w:rsid w:val="00A4260C"/>
    <w:rsid w:val="00A63F49"/>
    <w:rsid w:val="00A7025D"/>
    <w:rsid w:val="00A928EF"/>
    <w:rsid w:val="00AA5789"/>
    <w:rsid w:val="00AA65A3"/>
    <w:rsid w:val="00AC07B5"/>
    <w:rsid w:val="00AC1516"/>
    <w:rsid w:val="00AE09DF"/>
    <w:rsid w:val="00B14324"/>
    <w:rsid w:val="00B230C8"/>
    <w:rsid w:val="00B3003C"/>
    <w:rsid w:val="00B35A2E"/>
    <w:rsid w:val="00B5435B"/>
    <w:rsid w:val="00B71CF8"/>
    <w:rsid w:val="00B7342D"/>
    <w:rsid w:val="00B84431"/>
    <w:rsid w:val="00B90BB5"/>
    <w:rsid w:val="00BA081F"/>
    <w:rsid w:val="00BA4020"/>
    <w:rsid w:val="00BA65ED"/>
    <w:rsid w:val="00BB239A"/>
    <w:rsid w:val="00BE4C06"/>
    <w:rsid w:val="00BF35C1"/>
    <w:rsid w:val="00C00246"/>
    <w:rsid w:val="00C0029C"/>
    <w:rsid w:val="00C0272D"/>
    <w:rsid w:val="00C303D3"/>
    <w:rsid w:val="00C34B8E"/>
    <w:rsid w:val="00C45DEC"/>
    <w:rsid w:val="00C75FA8"/>
    <w:rsid w:val="00C76565"/>
    <w:rsid w:val="00C807BE"/>
    <w:rsid w:val="00CA5F45"/>
    <w:rsid w:val="00CC44C7"/>
    <w:rsid w:val="00CD1B21"/>
    <w:rsid w:val="00CD40E7"/>
    <w:rsid w:val="00CD742E"/>
    <w:rsid w:val="00CE13D8"/>
    <w:rsid w:val="00CE35C6"/>
    <w:rsid w:val="00CF6288"/>
    <w:rsid w:val="00D02CA3"/>
    <w:rsid w:val="00D07B91"/>
    <w:rsid w:val="00D2022C"/>
    <w:rsid w:val="00D22CF5"/>
    <w:rsid w:val="00D23A2A"/>
    <w:rsid w:val="00D3315C"/>
    <w:rsid w:val="00D514D4"/>
    <w:rsid w:val="00D518E9"/>
    <w:rsid w:val="00D524A2"/>
    <w:rsid w:val="00D532AC"/>
    <w:rsid w:val="00D64E66"/>
    <w:rsid w:val="00D81D20"/>
    <w:rsid w:val="00D968E1"/>
    <w:rsid w:val="00DB0506"/>
    <w:rsid w:val="00DC436E"/>
    <w:rsid w:val="00DE0DEC"/>
    <w:rsid w:val="00DF05E7"/>
    <w:rsid w:val="00E02818"/>
    <w:rsid w:val="00E03A09"/>
    <w:rsid w:val="00E14F35"/>
    <w:rsid w:val="00E36E6A"/>
    <w:rsid w:val="00E37948"/>
    <w:rsid w:val="00E476DB"/>
    <w:rsid w:val="00E82906"/>
    <w:rsid w:val="00E962E4"/>
    <w:rsid w:val="00EA0893"/>
    <w:rsid w:val="00EA2927"/>
    <w:rsid w:val="00EA7AFD"/>
    <w:rsid w:val="00EC7E55"/>
    <w:rsid w:val="00EE5673"/>
    <w:rsid w:val="00EE7BB7"/>
    <w:rsid w:val="00EF2A4D"/>
    <w:rsid w:val="00EF74A2"/>
    <w:rsid w:val="00F06FA8"/>
    <w:rsid w:val="00F2689C"/>
    <w:rsid w:val="00F32ABB"/>
    <w:rsid w:val="00F37691"/>
    <w:rsid w:val="00F42389"/>
    <w:rsid w:val="00F465C4"/>
    <w:rsid w:val="00F52A6D"/>
    <w:rsid w:val="00F62611"/>
    <w:rsid w:val="00F62D12"/>
    <w:rsid w:val="00F72CBE"/>
    <w:rsid w:val="00F94842"/>
    <w:rsid w:val="00F96246"/>
    <w:rsid w:val="00FC29F1"/>
    <w:rsid w:val="00FC36BB"/>
    <w:rsid w:val="00FC6C92"/>
    <w:rsid w:val="00FD1D98"/>
    <w:rsid w:val="00FE25F1"/>
    <w:rsid w:val="00FE7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4A4DB"/>
  <w15:chartTrackingRefBased/>
  <w15:docId w15:val="{1354BA77-335E-4020-A62C-7F2B6650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D64E66"/>
  </w:style>
  <w:style w:type="character" w:styleId="Collegamentoipertestuale">
    <w:name w:val="Hyperlink"/>
    <w:uiPriority w:val="99"/>
    <w:unhideWhenUsed/>
    <w:rsid w:val="00D64E66"/>
    <w:rPr>
      <w:color w:val="0000FF"/>
      <w:u w:val="single"/>
    </w:rPr>
  </w:style>
  <w:style w:type="character" w:styleId="Enfasigrassetto">
    <w:name w:val="Strong"/>
    <w:uiPriority w:val="22"/>
    <w:qFormat/>
    <w:rsid w:val="00BF35C1"/>
    <w:rPr>
      <w:b/>
      <w:bCs/>
    </w:rPr>
  </w:style>
  <w:style w:type="paragraph" w:styleId="NormaleWeb">
    <w:name w:val="Normal (Web)"/>
    <w:basedOn w:val="Normale"/>
    <w:uiPriority w:val="99"/>
    <w:unhideWhenUsed/>
    <w:rsid w:val="002F1132"/>
    <w:pPr>
      <w:spacing w:before="100" w:beforeAutospacing="1" w:after="100" w:afterAutospacing="1"/>
    </w:pPr>
  </w:style>
  <w:style w:type="character" w:styleId="Enfasicorsivo">
    <w:name w:val="Emphasis"/>
    <w:uiPriority w:val="20"/>
    <w:qFormat/>
    <w:rsid w:val="002F1132"/>
    <w:rPr>
      <w:i/>
      <w:iCs/>
    </w:rPr>
  </w:style>
  <w:style w:type="paragraph" w:styleId="Testofumetto">
    <w:name w:val="Balloon Text"/>
    <w:basedOn w:val="Normale"/>
    <w:link w:val="TestofumettoCarattere"/>
    <w:rsid w:val="00F96246"/>
    <w:rPr>
      <w:rFonts w:ascii="Segoe UI" w:hAnsi="Segoe UI" w:cs="Segoe UI"/>
      <w:sz w:val="18"/>
      <w:szCs w:val="18"/>
    </w:rPr>
  </w:style>
  <w:style w:type="character" w:customStyle="1" w:styleId="TestofumettoCarattere">
    <w:name w:val="Testo fumetto Carattere"/>
    <w:link w:val="Testofumetto"/>
    <w:rsid w:val="00F96246"/>
    <w:rPr>
      <w:rFonts w:ascii="Segoe UI" w:hAnsi="Segoe UI" w:cs="Segoe UI"/>
      <w:sz w:val="18"/>
      <w:szCs w:val="18"/>
    </w:rPr>
  </w:style>
  <w:style w:type="paragraph" w:customStyle="1" w:styleId="sentnormal">
    <w:name w:val="sent_normal"/>
    <w:basedOn w:val="Normale"/>
    <w:rsid w:val="00B71C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800938">
      <w:bodyDiv w:val="1"/>
      <w:marLeft w:val="0"/>
      <w:marRight w:val="0"/>
      <w:marTop w:val="0"/>
      <w:marBottom w:val="0"/>
      <w:divBdr>
        <w:top w:val="none" w:sz="0" w:space="0" w:color="auto"/>
        <w:left w:val="none" w:sz="0" w:space="0" w:color="auto"/>
        <w:bottom w:val="none" w:sz="0" w:space="0" w:color="auto"/>
        <w:right w:val="none" w:sz="0" w:space="0" w:color="auto"/>
      </w:divBdr>
    </w:div>
    <w:div w:id="13579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05',id:'05AC00003177',key:'05AC00003177',%20callerTicket:%20'',%20userKey:%20'',_menu:'giuri',kind:''%7d)" TargetMode="External"/><Relationship Id="rId13" Type="http://schemas.openxmlformats.org/officeDocument/2006/relationships/hyperlink" Target="javascript:kernel.go('bd',%7bmask:'main',opera:'05',id:'05AC00003177',key:'05AC00003177',%20callerTicket:%20'',%20userKey:%20'',_menu:'giuri',kind:''%7d)" TargetMode="External"/><Relationship Id="rId18" Type="http://schemas.openxmlformats.org/officeDocument/2006/relationships/hyperlink" Target="http://www.brocardi.it/dizionario/1437.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kernel.go('bd',%7bmask:'main',opera:'05',id:'05AC00003175',key:'05AC00003175',%20callerTicket:%20'',%20userKey:%20'',_menu:'giuri',kind:''%7d)" TargetMode="External"/><Relationship Id="rId12" Type="http://schemas.openxmlformats.org/officeDocument/2006/relationships/hyperlink" Target="javascript:kernel.go('bd',%7bmask:'main',opera:'05',id:'05AC00003175',key:'05AC00003175',%20callerTicket:%20'',%20userKey:%20'',_menu:'giuri',kind:''%7d)" TargetMode="External"/><Relationship Id="rId17" Type="http://schemas.openxmlformats.org/officeDocument/2006/relationships/hyperlink" Target="http://www.brocardi.it/dizionario/1436.html" TargetMode="External"/><Relationship Id="rId2" Type="http://schemas.openxmlformats.org/officeDocument/2006/relationships/styles" Target="styles.xml"/><Relationship Id="rId16" Type="http://schemas.openxmlformats.org/officeDocument/2006/relationships/hyperlink" Target="http://www.brocardi.it/dizionario/143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kernel.go('bd',%7bmask:'main',opera:'05',id:'05AC00003177',key:'05AC00003177',%20callerTicket:%20'',%20userKey:%20'',_menu:'giuri',kind:''%7d)" TargetMode="External"/><Relationship Id="rId11" Type="http://schemas.openxmlformats.org/officeDocument/2006/relationships/hyperlink" Target="javascript:kernel.go('bd',%7bmask:'main',opera:'05',id:'05AC00003179',key:'05AC00003179',%20callerTicket:%20'',%20userKey:%20'',_menu:'giuri',kind:''%7d)" TargetMode="External"/><Relationship Id="rId5" Type="http://schemas.openxmlformats.org/officeDocument/2006/relationships/hyperlink" Target="javascript:kernel.go('bd',%7bmask:'main',opera:'05',id:'05AC00003175',key:'05AC00003175',%20callerTicket:%20'',%20userKey:%20'',_menu:'giuri',kind:''%7d)" TargetMode="External"/><Relationship Id="rId15" Type="http://schemas.openxmlformats.org/officeDocument/2006/relationships/hyperlink" Target="http://www.brocardi.it/dizionario/1432.html" TargetMode="External"/><Relationship Id="rId10" Type="http://schemas.openxmlformats.org/officeDocument/2006/relationships/hyperlink" Target="javascript:kernel.go('bd',%7bmask:'main',opera:'05',id:'05AC00003177',key:'05AC00003177',%20callerTicket:%20'',%20userKey:%20'',_menu:'giuri',kind:''%7d)" TargetMode="External"/><Relationship Id="rId19" Type="http://schemas.openxmlformats.org/officeDocument/2006/relationships/hyperlink" Target="http://www.brocardi.it/dizionario/1438.html" TargetMode="External"/><Relationship Id="rId4" Type="http://schemas.openxmlformats.org/officeDocument/2006/relationships/webSettings" Target="webSettings.xml"/><Relationship Id="rId9" Type="http://schemas.openxmlformats.org/officeDocument/2006/relationships/hyperlink" Target="javascript:kernel.go('bd',%7bmask:'main',opera:'05',id:'05AC00003175',key:'05AC00003175',%20callerTicket:%20'',%20userKey:%20'',_menu:'giuri',kind:''%7d)" TargetMode="External"/><Relationship Id="rId14" Type="http://schemas.openxmlformats.org/officeDocument/2006/relationships/hyperlink" Target="javascript:kernel.go('bd',%7bmask:'main',opera:'05',id:'05AC00003179',key:'05AC00003179',%20callerTicket:%20'',%20userKey:%20'',_menu:'giuri',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1407</Words>
  <Characters>8023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Title</vt:lpstr>
    </vt:vector>
  </TitlesOfParts>
  <Manager>Manager</Manager>
  <Company>Company</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Avv. Pier Paolo Capponi</dc:creator>
  <cp:keywords>Keywords</cp:keywords>
  <dc:description/>
  <cp:lastModifiedBy>PIER PAOLO CAPPONI</cp:lastModifiedBy>
  <cp:revision>8</cp:revision>
  <cp:lastPrinted>2017-05-28T15:57:00Z</cp:lastPrinted>
  <dcterms:created xsi:type="dcterms:W3CDTF">2017-09-29T14:23:00Z</dcterms:created>
  <dcterms:modified xsi:type="dcterms:W3CDTF">2017-10-01T10:22:00Z</dcterms:modified>
</cp:coreProperties>
</file>