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65" w:rsidRDefault="00474865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POSSESSO IN CONDOINIO</w:t>
      </w:r>
      <w:r w:rsidR="00426D78" w:rsidRPr="00426D78">
        <w:rPr>
          <w:rFonts w:ascii="Times New Roman" w:hAnsi="Times New Roman" w:cs="Times New Roman"/>
          <w:sz w:val="28"/>
          <w:szCs w:val="28"/>
        </w:rPr>
        <w:t xml:space="preserve"> - </w:t>
      </w:r>
      <w:r w:rsidR="00426D78">
        <w:rPr>
          <w:rFonts w:ascii="Times New Roman" w:hAnsi="Times New Roman" w:cs="Times New Roman"/>
          <w:sz w:val="28"/>
          <w:szCs w:val="28"/>
        </w:rPr>
        <w:t xml:space="preserve">COMMENTO A </w:t>
      </w:r>
      <w:r>
        <w:rPr>
          <w:rFonts w:ascii="Times New Roman" w:hAnsi="Times New Roman" w:cs="Times New Roman"/>
          <w:sz w:val="28"/>
          <w:szCs w:val="28"/>
        </w:rPr>
        <w:t>CASS. N. 24471/2017</w:t>
      </w:r>
    </w:p>
    <w:p w:rsidR="00426D78" w:rsidRDefault="00426D78" w:rsidP="00EA0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865" w:rsidRDefault="00426D78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la sentenza n. </w:t>
      </w:r>
      <w:r w:rsidR="00474865">
        <w:rPr>
          <w:rFonts w:ascii="Times New Roman" w:hAnsi="Times New Roman" w:cs="Times New Roman"/>
          <w:sz w:val="28"/>
          <w:szCs w:val="28"/>
        </w:rPr>
        <w:t>24471</w:t>
      </w:r>
      <w:r>
        <w:rPr>
          <w:rFonts w:ascii="Times New Roman" w:hAnsi="Times New Roman" w:cs="Times New Roman"/>
          <w:sz w:val="28"/>
          <w:szCs w:val="28"/>
        </w:rPr>
        <w:t xml:space="preserve"> del </w:t>
      </w:r>
      <w:r w:rsidR="00474865">
        <w:rPr>
          <w:rFonts w:ascii="Times New Roman" w:hAnsi="Times New Roman" w:cs="Times New Roman"/>
          <w:sz w:val="28"/>
          <w:szCs w:val="28"/>
        </w:rPr>
        <w:t>17/10/2017</w:t>
      </w:r>
      <w:r w:rsidR="00EA0A28">
        <w:rPr>
          <w:rFonts w:ascii="Times New Roman" w:hAnsi="Times New Roman" w:cs="Times New Roman"/>
          <w:sz w:val="28"/>
          <w:szCs w:val="28"/>
        </w:rPr>
        <w:t xml:space="preserve">, </w:t>
      </w:r>
      <w:r w:rsidR="00474865">
        <w:rPr>
          <w:rFonts w:ascii="Times New Roman" w:hAnsi="Times New Roman" w:cs="Times New Roman"/>
          <w:sz w:val="28"/>
          <w:szCs w:val="28"/>
        </w:rPr>
        <w:t>la Corte di Cassazione affronta la questione del possesso nell’ambito condominiale</w:t>
      </w:r>
      <w:r w:rsidR="00101037">
        <w:rPr>
          <w:rFonts w:ascii="Times New Roman" w:hAnsi="Times New Roman" w:cs="Times New Roman"/>
          <w:sz w:val="28"/>
          <w:szCs w:val="28"/>
        </w:rPr>
        <w:t>,</w:t>
      </w:r>
      <w:r w:rsidR="00245F26">
        <w:rPr>
          <w:rFonts w:ascii="Times New Roman" w:hAnsi="Times New Roman" w:cs="Times New Roman"/>
          <w:sz w:val="28"/>
          <w:szCs w:val="28"/>
        </w:rPr>
        <w:t xml:space="preserve"> ai fini dell’</w:t>
      </w:r>
      <w:r w:rsidR="00441946">
        <w:rPr>
          <w:rFonts w:ascii="Times New Roman" w:hAnsi="Times New Roman" w:cs="Times New Roman"/>
          <w:sz w:val="28"/>
          <w:szCs w:val="28"/>
        </w:rPr>
        <w:t>esperimento delle</w:t>
      </w:r>
      <w:r w:rsidR="00245F26">
        <w:rPr>
          <w:rFonts w:ascii="Times New Roman" w:hAnsi="Times New Roman" w:cs="Times New Roman"/>
          <w:sz w:val="28"/>
          <w:szCs w:val="28"/>
        </w:rPr>
        <w:t xml:space="preserve"> azioni posses</w:t>
      </w:r>
      <w:r w:rsidR="00441946">
        <w:rPr>
          <w:rFonts w:ascii="Times New Roman" w:hAnsi="Times New Roman" w:cs="Times New Roman"/>
          <w:sz w:val="28"/>
          <w:szCs w:val="28"/>
        </w:rPr>
        <w:t>s</w:t>
      </w:r>
      <w:r w:rsidR="00245F26">
        <w:rPr>
          <w:rFonts w:ascii="Times New Roman" w:hAnsi="Times New Roman" w:cs="Times New Roman"/>
          <w:sz w:val="28"/>
          <w:szCs w:val="28"/>
        </w:rPr>
        <w:t>orie</w:t>
      </w:r>
      <w:r w:rsidR="00474865">
        <w:rPr>
          <w:rFonts w:ascii="Times New Roman" w:hAnsi="Times New Roman" w:cs="Times New Roman"/>
          <w:sz w:val="28"/>
          <w:szCs w:val="28"/>
        </w:rPr>
        <w:t>.</w:t>
      </w:r>
    </w:p>
    <w:p w:rsidR="00474865" w:rsidRDefault="00474865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Una condomina</w:t>
      </w:r>
      <w:r w:rsidRPr="00474865">
        <w:rPr>
          <w:rFonts w:ascii="Times New Roman" w:hAnsi="Times New Roman" w:cs="Times New Roman"/>
          <w:sz w:val="28"/>
          <w:szCs w:val="28"/>
        </w:rPr>
        <w:t xml:space="preserve">, qualificandosi </w:t>
      </w:r>
      <w:r>
        <w:rPr>
          <w:rFonts w:ascii="Times New Roman" w:hAnsi="Times New Roman" w:cs="Times New Roman"/>
          <w:sz w:val="28"/>
          <w:szCs w:val="28"/>
        </w:rPr>
        <w:t xml:space="preserve">come </w:t>
      </w:r>
      <w:r w:rsidRPr="00474865">
        <w:rPr>
          <w:rFonts w:ascii="Times New Roman" w:hAnsi="Times New Roman" w:cs="Times New Roman"/>
          <w:sz w:val="28"/>
          <w:szCs w:val="28"/>
        </w:rPr>
        <w:t xml:space="preserve">proprietaria e possessore di una porzione di </w:t>
      </w:r>
      <w:r>
        <w:rPr>
          <w:rFonts w:ascii="Times New Roman" w:hAnsi="Times New Roman" w:cs="Times New Roman"/>
          <w:sz w:val="28"/>
          <w:szCs w:val="28"/>
        </w:rPr>
        <w:t xml:space="preserve">un fabbricato, </w:t>
      </w:r>
      <w:r w:rsidRPr="00474865">
        <w:rPr>
          <w:rFonts w:ascii="Times New Roman" w:hAnsi="Times New Roman" w:cs="Times New Roman"/>
          <w:sz w:val="28"/>
          <w:szCs w:val="28"/>
        </w:rPr>
        <w:t>ha lamentato l'ille</w:t>
      </w:r>
      <w:r>
        <w:rPr>
          <w:rFonts w:ascii="Times New Roman" w:hAnsi="Times New Roman" w:cs="Times New Roman"/>
          <w:sz w:val="28"/>
          <w:szCs w:val="28"/>
        </w:rPr>
        <w:t xml:space="preserve">gittima occupazione da parte di un </w:t>
      </w:r>
      <w:r w:rsidR="00245F26">
        <w:rPr>
          <w:rFonts w:ascii="Times New Roman" w:hAnsi="Times New Roman" w:cs="Times New Roman"/>
          <w:sz w:val="28"/>
          <w:szCs w:val="28"/>
        </w:rPr>
        <w:t xml:space="preserve">altro </w:t>
      </w:r>
      <w:r>
        <w:rPr>
          <w:rFonts w:ascii="Times New Roman" w:hAnsi="Times New Roman" w:cs="Times New Roman"/>
          <w:sz w:val="28"/>
          <w:szCs w:val="28"/>
        </w:rPr>
        <w:t>condomino</w:t>
      </w:r>
      <w:r w:rsidRPr="00474865">
        <w:rPr>
          <w:rFonts w:ascii="Times New Roman" w:hAnsi="Times New Roman" w:cs="Times New Roman"/>
          <w:sz w:val="28"/>
          <w:szCs w:val="28"/>
        </w:rPr>
        <w:t xml:space="preserve"> di </w:t>
      </w:r>
      <w:r>
        <w:rPr>
          <w:rFonts w:ascii="Times New Roman" w:hAnsi="Times New Roman" w:cs="Times New Roman"/>
          <w:sz w:val="28"/>
          <w:szCs w:val="28"/>
        </w:rPr>
        <w:t xml:space="preserve">una </w:t>
      </w:r>
      <w:r w:rsidRPr="00474865">
        <w:rPr>
          <w:rFonts w:ascii="Times New Roman" w:hAnsi="Times New Roman" w:cs="Times New Roman"/>
          <w:sz w:val="28"/>
          <w:szCs w:val="28"/>
        </w:rPr>
        <w:t>porzione di un</w:t>
      </w:r>
      <w:r w:rsidR="00245F26">
        <w:rPr>
          <w:rFonts w:ascii="Times New Roman" w:hAnsi="Times New Roman" w:cs="Times New Roman"/>
          <w:sz w:val="28"/>
          <w:szCs w:val="28"/>
        </w:rPr>
        <w:t xml:space="preserve"> pianerottolo comune mediante l’erezione di un</w:t>
      </w:r>
      <w:r w:rsidRPr="00474865">
        <w:rPr>
          <w:rFonts w:ascii="Times New Roman" w:hAnsi="Times New Roman" w:cs="Times New Roman"/>
          <w:sz w:val="28"/>
          <w:szCs w:val="28"/>
        </w:rPr>
        <w:t xml:space="preserve"> muro, approfitta</w:t>
      </w:r>
      <w:r w:rsidR="00101037">
        <w:rPr>
          <w:rFonts w:ascii="Times New Roman" w:hAnsi="Times New Roman" w:cs="Times New Roman"/>
          <w:sz w:val="28"/>
          <w:szCs w:val="28"/>
        </w:rPr>
        <w:t>ndo dell’</w:t>
      </w:r>
      <w:r>
        <w:rPr>
          <w:rFonts w:ascii="Times New Roman" w:hAnsi="Times New Roman" w:cs="Times New Roman"/>
          <w:sz w:val="28"/>
          <w:szCs w:val="28"/>
        </w:rPr>
        <w:t>assenza</w:t>
      </w:r>
      <w:r w:rsidR="00101037">
        <w:rPr>
          <w:rFonts w:ascii="Times New Roman" w:hAnsi="Times New Roman" w:cs="Times New Roman"/>
          <w:sz w:val="28"/>
          <w:szCs w:val="28"/>
        </w:rPr>
        <w:t xml:space="preserve"> degli altri condomini</w:t>
      </w:r>
      <w:r w:rsidRPr="00474865">
        <w:rPr>
          <w:rFonts w:ascii="Times New Roman" w:hAnsi="Times New Roman" w:cs="Times New Roman"/>
          <w:sz w:val="28"/>
          <w:szCs w:val="28"/>
        </w:rPr>
        <w:t xml:space="preserve">, in occasione dei lavori per la realizzazione di un unico ingresso </w:t>
      </w:r>
      <w:r>
        <w:rPr>
          <w:rFonts w:ascii="Times New Roman" w:hAnsi="Times New Roman" w:cs="Times New Roman"/>
          <w:sz w:val="28"/>
          <w:szCs w:val="28"/>
        </w:rPr>
        <w:t>di suoi due appartamenti</w:t>
      </w:r>
      <w:r w:rsidRPr="00474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865" w:rsidRDefault="00474865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 w:rsidRPr="00474865">
        <w:rPr>
          <w:rFonts w:ascii="Times New Roman" w:hAnsi="Times New Roman" w:cs="Times New Roman"/>
          <w:sz w:val="28"/>
          <w:szCs w:val="28"/>
        </w:rPr>
        <w:t>Ritenendo che tale spazio fosse in realtà destinato a ballatoio a servizio degli appartamenti dei diversi proprietari</w:t>
      </w:r>
      <w:r w:rsidR="00245F26">
        <w:rPr>
          <w:rFonts w:ascii="Times New Roman" w:hAnsi="Times New Roman" w:cs="Times New Roman"/>
          <w:sz w:val="28"/>
          <w:szCs w:val="28"/>
        </w:rPr>
        <w:t>,</w:t>
      </w:r>
      <w:r w:rsidRPr="00474865"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’attrice</w:t>
      </w:r>
      <w:r w:rsidRPr="00474865">
        <w:rPr>
          <w:rFonts w:ascii="Times New Roman" w:hAnsi="Times New Roman" w:cs="Times New Roman"/>
          <w:sz w:val="28"/>
          <w:szCs w:val="28"/>
        </w:rPr>
        <w:t xml:space="preserve"> ha proposto domanda di reintegra nel possesso.</w:t>
      </w:r>
    </w:p>
    <w:p w:rsidR="00474865" w:rsidRDefault="00474865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causa veniva persa dalla condomina attrice sia in primo che in secondo grado.</w:t>
      </w:r>
    </w:p>
    <w:p w:rsidR="00474865" w:rsidRDefault="00245F26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stessa</w:t>
      </w:r>
      <w:r w:rsidR="00474865">
        <w:rPr>
          <w:rFonts w:ascii="Times New Roman" w:hAnsi="Times New Roman" w:cs="Times New Roman"/>
          <w:sz w:val="28"/>
          <w:szCs w:val="28"/>
        </w:rPr>
        <w:t xml:space="preserve"> si rivolgeva allora alla Cassazione, che del pari rigettava il ricorso per una serie di motivi.</w:t>
      </w:r>
    </w:p>
    <w:p w:rsidR="00474865" w:rsidRDefault="00474865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causa veniva persa</w:t>
      </w:r>
      <w:r w:rsidR="00101037">
        <w:rPr>
          <w:rFonts w:ascii="Times New Roman" w:hAnsi="Times New Roman" w:cs="Times New Roman"/>
          <w:sz w:val="28"/>
          <w:szCs w:val="28"/>
        </w:rPr>
        <w:t>, sostanzialmente e</w:t>
      </w:r>
      <w:r>
        <w:rPr>
          <w:rFonts w:ascii="Times New Roman" w:hAnsi="Times New Roman" w:cs="Times New Roman"/>
          <w:sz w:val="28"/>
          <w:szCs w:val="28"/>
        </w:rPr>
        <w:t xml:space="preserve"> principa</w:t>
      </w:r>
      <w:r w:rsidR="00814FE2">
        <w:rPr>
          <w:rFonts w:ascii="Times New Roman" w:hAnsi="Times New Roman" w:cs="Times New Roman"/>
          <w:sz w:val="28"/>
          <w:szCs w:val="28"/>
        </w:rPr>
        <w:t>lmente</w:t>
      </w:r>
      <w:r w:rsidR="00101037">
        <w:rPr>
          <w:rFonts w:ascii="Times New Roman" w:hAnsi="Times New Roman" w:cs="Times New Roman"/>
          <w:sz w:val="28"/>
          <w:szCs w:val="28"/>
        </w:rPr>
        <w:t>,</w:t>
      </w:r>
      <w:r w:rsidR="00814FE2">
        <w:rPr>
          <w:rFonts w:ascii="Times New Roman" w:hAnsi="Times New Roman" w:cs="Times New Roman"/>
          <w:sz w:val="28"/>
          <w:szCs w:val="28"/>
        </w:rPr>
        <w:t xml:space="preserve"> per degli errori formali che conducevano alla inammissibilità del ricorso.</w:t>
      </w:r>
    </w:p>
    <w:p w:rsidR="00101037" w:rsidRDefault="00814FE2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2">
        <w:rPr>
          <w:rFonts w:ascii="Times New Roman" w:hAnsi="Times New Roman" w:cs="Times New Roman"/>
          <w:sz w:val="28"/>
          <w:szCs w:val="28"/>
        </w:rPr>
        <w:t>Da un primo punto di v</w:t>
      </w:r>
      <w:r w:rsidR="00245F26">
        <w:rPr>
          <w:rFonts w:ascii="Times New Roman" w:hAnsi="Times New Roman" w:cs="Times New Roman"/>
          <w:sz w:val="28"/>
          <w:szCs w:val="28"/>
        </w:rPr>
        <w:t xml:space="preserve">ista, </w:t>
      </w:r>
      <w:r w:rsidR="00101037">
        <w:rPr>
          <w:rFonts w:ascii="Times New Roman" w:hAnsi="Times New Roman" w:cs="Times New Roman"/>
          <w:sz w:val="28"/>
          <w:szCs w:val="28"/>
        </w:rPr>
        <w:t xml:space="preserve">secondo la Cassazione </w:t>
      </w:r>
      <w:r w:rsidR="00245F26">
        <w:rPr>
          <w:rFonts w:ascii="Times New Roman" w:hAnsi="Times New Roman" w:cs="Times New Roman"/>
          <w:sz w:val="28"/>
          <w:szCs w:val="28"/>
        </w:rPr>
        <w:t>l'inammissibilità conseguiva</w:t>
      </w:r>
      <w:r w:rsidRPr="00814FE2">
        <w:rPr>
          <w:rFonts w:ascii="Times New Roman" w:hAnsi="Times New Roman" w:cs="Times New Roman"/>
          <w:sz w:val="28"/>
          <w:szCs w:val="28"/>
        </w:rPr>
        <w:t xml:space="preserve"> alla circostanz</w:t>
      </w:r>
      <w:r w:rsidR="00101037">
        <w:rPr>
          <w:rFonts w:ascii="Times New Roman" w:hAnsi="Times New Roman" w:cs="Times New Roman"/>
          <w:sz w:val="28"/>
          <w:szCs w:val="28"/>
        </w:rPr>
        <w:t xml:space="preserve">a per cui il motivo, </w:t>
      </w:r>
      <w:r w:rsidRPr="00814FE2">
        <w:rPr>
          <w:rFonts w:ascii="Times New Roman" w:hAnsi="Times New Roman" w:cs="Times New Roman"/>
          <w:sz w:val="28"/>
          <w:szCs w:val="28"/>
        </w:rPr>
        <w:t>costituito da plurim</w:t>
      </w:r>
      <w:r w:rsidR="00245F26">
        <w:rPr>
          <w:rFonts w:ascii="Times New Roman" w:hAnsi="Times New Roman" w:cs="Times New Roman"/>
          <w:sz w:val="28"/>
          <w:szCs w:val="28"/>
        </w:rPr>
        <w:t xml:space="preserve">e e diversificate censure, </w:t>
      </w:r>
      <w:r w:rsidR="00245F26" w:rsidRPr="00245F26">
        <w:rPr>
          <w:rFonts w:ascii="Times New Roman" w:hAnsi="Times New Roman" w:cs="Times New Roman"/>
          <w:b/>
          <w:sz w:val="28"/>
          <w:szCs w:val="28"/>
        </w:rPr>
        <w:t>non era</w:t>
      </w:r>
      <w:r w:rsidRPr="00245F26">
        <w:rPr>
          <w:rFonts w:ascii="Times New Roman" w:hAnsi="Times New Roman" w:cs="Times New Roman"/>
          <w:b/>
          <w:sz w:val="28"/>
          <w:szCs w:val="28"/>
        </w:rPr>
        <w:t xml:space="preserve"> accompagnato dalla r</w:t>
      </w:r>
      <w:r w:rsidR="00556834">
        <w:rPr>
          <w:rFonts w:ascii="Times New Roman" w:hAnsi="Times New Roman" w:cs="Times New Roman"/>
          <w:b/>
          <w:sz w:val="28"/>
          <w:szCs w:val="28"/>
        </w:rPr>
        <w:t>iproduzione per ciascuna di esse</w:t>
      </w:r>
      <w:r w:rsidRPr="00814FE2">
        <w:rPr>
          <w:rFonts w:ascii="Times New Roman" w:hAnsi="Times New Roman" w:cs="Times New Roman"/>
          <w:sz w:val="28"/>
          <w:szCs w:val="28"/>
        </w:rPr>
        <w:t xml:space="preserve">, almeno nei loro passaggi salienti, </w:t>
      </w:r>
      <w:r w:rsidR="00556834">
        <w:rPr>
          <w:rFonts w:ascii="Times New Roman" w:hAnsi="Times New Roman" w:cs="Times New Roman"/>
          <w:b/>
          <w:sz w:val="28"/>
          <w:szCs w:val="28"/>
        </w:rPr>
        <w:t>da</w:t>
      </w:r>
      <w:r w:rsidRPr="00245F26">
        <w:rPr>
          <w:rFonts w:ascii="Times New Roman" w:hAnsi="Times New Roman" w:cs="Times New Roman"/>
          <w:b/>
          <w:sz w:val="28"/>
          <w:szCs w:val="28"/>
        </w:rPr>
        <w:t>i brani motivazionali della sentenza impugnata e degli elementi desunti dagli atti processuali</w:t>
      </w:r>
      <w:r w:rsidRPr="00814FE2">
        <w:rPr>
          <w:rFonts w:ascii="Times New Roman" w:hAnsi="Times New Roman" w:cs="Times New Roman"/>
          <w:sz w:val="28"/>
          <w:szCs w:val="28"/>
        </w:rPr>
        <w:t xml:space="preserve"> (in particolare, le deposizioni testimoniali) </w:t>
      </w:r>
      <w:r w:rsidRPr="00245F26">
        <w:rPr>
          <w:rFonts w:ascii="Times New Roman" w:hAnsi="Times New Roman" w:cs="Times New Roman"/>
          <w:b/>
          <w:sz w:val="28"/>
          <w:szCs w:val="28"/>
        </w:rPr>
        <w:t>che, secondo l'assunto della ricorrente, se valutati correttamente, avrebbero condotto i giudici di merito ad una differente decisione.</w:t>
      </w:r>
      <w:r w:rsidRPr="00814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865" w:rsidRDefault="00814FE2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2">
        <w:rPr>
          <w:rFonts w:ascii="Times New Roman" w:hAnsi="Times New Roman" w:cs="Times New Roman"/>
          <w:sz w:val="28"/>
          <w:szCs w:val="28"/>
        </w:rPr>
        <w:t xml:space="preserve">Trattasi, quindi, </w:t>
      </w:r>
      <w:r w:rsidR="00101037">
        <w:rPr>
          <w:rFonts w:ascii="Times New Roman" w:hAnsi="Times New Roman" w:cs="Times New Roman"/>
          <w:sz w:val="28"/>
          <w:szCs w:val="28"/>
        </w:rPr>
        <w:t xml:space="preserve">secondo la Suprema Corte, </w:t>
      </w:r>
      <w:r w:rsidRPr="00814FE2">
        <w:rPr>
          <w:rFonts w:ascii="Times New Roman" w:hAnsi="Times New Roman" w:cs="Times New Roman"/>
          <w:sz w:val="28"/>
          <w:szCs w:val="28"/>
        </w:rPr>
        <w:t xml:space="preserve">di </w:t>
      </w:r>
      <w:r w:rsidRPr="00245F26">
        <w:rPr>
          <w:rFonts w:ascii="Times New Roman" w:hAnsi="Times New Roman" w:cs="Times New Roman"/>
          <w:b/>
          <w:sz w:val="28"/>
          <w:szCs w:val="28"/>
        </w:rPr>
        <w:t>censure prive di autosufficienza</w:t>
      </w:r>
      <w:r w:rsidRPr="00814FE2">
        <w:rPr>
          <w:rFonts w:ascii="Times New Roman" w:hAnsi="Times New Roman" w:cs="Times New Roman"/>
          <w:sz w:val="28"/>
          <w:szCs w:val="28"/>
        </w:rPr>
        <w:t>, per il cui esame quindi la corte stessa avrebbe dovuto farsi arbitra di individuare, nel coacervo dei dati processuali, quelli fatti oggetto di critica mediante ciascuna censura; ciò che è inesigibile nel giudizio di legittimità.</w:t>
      </w:r>
    </w:p>
    <w:p w:rsidR="00474865" w:rsidRDefault="00814FE2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2">
        <w:rPr>
          <w:rFonts w:ascii="Times New Roman" w:hAnsi="Times New Roman" w:cs="Times New Roman"/>
          <w:sz w:val="28"/>
          <w:szCs w:val="28"/>
        </w:rPr>
        <w:t>Da altro punto di vista, per quanto attiene alle censure per violazione di l</w:t>
      </w:r>
      <w:r w:rsidR="00101037">
        <w:rPr>
          <w:rFonts w:ascii="Times New Roman" w:hAnsi="Times New Roman" w:cs="Times New Roman"/>
          <w:sz w:val="28"/>
          <w:szCs w:val="28"/>
        </w:rPr>
        <w:t>egge, l'inammissibilità conseguiva</w:t>
      </w:r>
      <w:r w:rsidRPr="00814FE2">
        <w:rPr>
          <w:rFonts w:ascii="Times New Roman" w:hAnsi="Times New Roman" w:cs="Times New Roman"/>
          <w:sz w:val="28"/>
          <w:szCs w:val="28"/>
        </w:rPr>
        <w:t xml:space="preserve"> anche </w:t>
      </w:r>
      <w:r w:rsidR="00556834">
        <w:rPr>
          <w:rFonts w:ascii="Times New Roman" w:hAnsi="Times New Roman" w:cs="Times New Roman"/>
          <w:sz w:val="28"/>
          <w:szCs w:val="28"/>
        </w:rPr>
        <w:t>d</w:t>
      </w:r>
      <w:r w:rsidRPr="00814FE2">
        <w:rPr>
          <w:rFonts w:ascii="Times New Roman" w:hAnsi="Times New Roman" w:cs="Times New Roman"/>
          <w:sz w:val="28"/>
          <w:szCs w:val="28"/>
        </w:rPr>
        <w:t xml:space="preserve">alla </w:t>
      </w:r>
      <w:r w:rsidRPr="00245F26">
        <w:rPr>
          <w:rFonts w:ascii="Times New Roman" w:hAnsi="Times New Roman" w:cs="Times New Roman"/>
          <w:b/>
          <w:sz w:val="28"/>
          <w:szCs w:val="28"/>
        </w:rPr>
        <w:t>natura generica delle stesse doglianze</w:t>
      </w:r>
      <w:r w:rsidRPr="00814FE2">
        <w:rPr>
          <w:rFonts w:ascii="Times New Roman" w:hAnsi="Times New Roman" w:cs="Times New Roman"/>
          <w:sz w:val="28"/>
          <w:szCs w:val="28"/>
        </w:rPr>
        <w:t>, solo due delle quali in astratto attinenti alle disposizioni normative (</w:t>
      </w:r>
      <w:hyperlink r:id="rId7" w:history="1">
        <w:r w:rsidRPr="00814FE2">
          <w:rPr>
            <w:rFonts w:ascii="Times New Roman" w:hAnsi="Times New Roman" w:cs="Times New Roman"/>
            <w:sz w:val="28"/>
            <w:szCs w:val="28"/>
          </w:rPr>
          <w:t>artt. 1117 e 1168 c.c.</w:t>
        </w:r>
      </w:hyperlink>
      <w:r w:rsidRPr="00814FE2">
        <w:rPr>
          <w:rFonts w:ascii="Times New Roman" w:hAnsi="Times New Roman" w:cs="Times New Roman"/>
          <w:sz w:val="28"/>
          <w:szCs w:val="28"/>
        </w:rPr>
        <w:t xml:space="preserve">) che si indicano come violate, </w:t>
      </w:r>
      <w:r w:rsidRPr="00245F26">
        <w:rPr>
          <w:rFonts w:ascii="Times New Roman" w:hAnsi="Times New Roman" w:cs="Times New Roman"/>
          <w:b/>
          <w:sz w:val="28"/>
          <w:szCs w:val="28"/>
        </w:rPr>
        <w:t>mancando per il resto chiari riferimenti alle regulae iuris che si ritengono erroneamente applicate a fronte di quelle di cui si invoca l'applicazione</w:t>
      </w:r>
      <w:r w:rsidRPr="00814FE2">
        <w:rPr>
          <w:rFonts w:ascii="Times New Roman" w:hAnsi="Times New Roman" w:cs="Times New Roman"/>
          <w:sz w:val="28"/>
          <w:szCs w:val="28"/>
        </w:rPr>
        <w:t>.</w:t>
      </w:r>
    </w:p>
    <w:p w:rsidR="00814FE2" w:rsidRDefault="00814FE2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Inoltre </w:t>
      </w:r>
      <w:r w:rsidRPr="00814FE2">
        <w:rPr>
          <w:rFonts w:ascii="Times New Roman" w:hAnsi="Times New Roman" w:cs="Times New Roman"/>
          <w:sz w:val="28"/>
          <w:szCs w:val="28"/>
        </w:rPr>
        <w:t xml:space="preserve">la </w:t>
      </w:r>
      <w:r w:rsidRPr="004A1876">
        <w:rPr>
          <w:rFonts w:ascii="Times New Roman" w:hAnsi="Times New Roman" w:cs="Times New Roman"/>
          <w:b/>
          <w:sz w:val="28"/>
          <w:szCs w:val="28"/>
        </w:rPr>
        <w:t>ricorrente avrebbe dovuto indicare per ciascuna censura il “fatto storico”, il cui esame sarebbe stato omesso, il “dato”, testuale o extratestuale, da cui esso risultava esistente, il “come” e il “quando” tale fatto fosse stato oggetto di discussione pro</w:t>
      </w:r>
      <w:r w:rsidR="004A1876">
        <w:rPr>
          <w:rFonts w:ascii="Times New Roman" w:hAnsi="Times New Roman" w:cs="Times New Roman"/>
          <w:b/>
          <w:sz w:val="28"/>
          <w:szCs w:val="28"/>
        </w:rPr>
        <w:t>cessuale tra le parti e la sua “</w:t>
      </w:r>
      <w:r w:rsidRPr="004A1876">
        <w:rPr>
          <w:rFonts w:ascii="Times New Roman" w:hAnsi="Times New Roman" w:cs="Times New Roman"/>
          <w:b/>
          <w:sz w:val="28"/>
          <w:szCs w:val="28"/>
        </w:rPr>
        <w:t>decisività</w:t>
      </w:r>
      <w:r w:rsidR="004A1876" w:rsidRPr="004A1876">
        <w:rPr>
          <w:rFonts w:ascii="Times New Roman" w:hAnsi="Times New Roman" w:cs="Times New Roman"/>
          <w:b/>
          <w:sz w:val="28"/>
          <w:szCs w:val="28"/>
        </w:rPr>
        <w:t>”</w:t>
      </w:r>
      <w:r w:rsidRPr="00814FE2">
        <w:rPr>
          <w:rFonts w:ascii="Times New Roman" w:hAnsi="Times New Roman" w:cs="Times New Roman"/>
          <w:sz w:val="28"/>
          <w:szCs w:val="28"/>
        </w:rPr>
        <w:t>, fermo restando che l'omesso esame di elementi istruttori</w:t>
      </w:r>
      <w:r w:rsidR="00101037">
        <w:rPr>
          <w:rFonts w:ascii="Times New Roman" w:hAnsi="Times New Roman" w:cs="Times New Roman"/>
          <w:sz w:val="28"/>
          <w:szCs w:val="28"/>
        </w:rPr>
        <w:t>, a detta della Corte di Cassazione,</w:t>
      </w:r>
      <w:r w:rsidRPr="00814FE2">
        <w:rPr>
          <w:rFonts w:ascii="Times New Roman" w:hAnsi="Times New Roman" w:cs="Times New Roman"/>
          <w:sz w:val="28"/>
          <w:szCs w:val="28"/>
        </w:rPr>
        <w:t xml:space="preserve"> non integra, di per sè, il vizio di omesso esame di un fatto decisivo, qualora il fatto storico, rilevante in causa, sia stato comunque preso in cons</w:t>
      </w:r>
      <w:r>
        <w:rPr>
          <w:rFonts w:ascii="Times New Roman" w:hAnsi="Times New Roman" w:cs="Times New Roman"/>
          <w:sz w:val="28"/>
          <w:szCs w:val="28"/>
        </w:rPr>
        <w:t>iderazione dal giudice, ancorché</w:t>
      </w:r>
      <w:r w:rsidRPr="00814FE2">
        <w:rPr>
          <w:rFonts w:ascii="Times New Roman" w:hAnsi="Times New Roman" w:cs="Times New Roman"/>
          <w:sz w:val="28"/>
          <w:szCs w:val="28"/>
        </w:rPr>
        <w:t xml:space="preserve"> la sentenza non abbia dato conto di tutte le ri</w:t>
      </w:r>
      <w:r>
        <w:rPr>
          <w:rFonts w:ascii="Times New Roman" w:hAnsi="Times New Roman" w:cs="Times New Roman"/>
          <w:sz w:val="28"/>
          <w:szCs w:val="28"/>
        </w:rPr>
        <w:t>sultanze probatorie</w:t>
      </w:r>
      <w:r w:rsidRPr="00814FE2">
        <w:rPr>
          <w:rFonts w:ascii="Times New Roman" w:hAnsi="Times New Roman" w:cs="Times New Roman"/>
          <w:sz w:val="28"/>
          <w:szCs w:val="28"/>
        </w:rPr>
        <w:t>.</w:t>
      </w:r>
    </w:p>
    <w:p w:rsidR="00474865" w:rsidRPr="004A1876" w:rsidRDefault="00814FE2" w:rsidP="00EA0A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E2">
        <w:rPr>
          <w:rFonts w:ascii="Times New Roman" w:hAnsi="Times New Roman" w:cs="Times New Roman"/>
          <w:sz w:val="28"/>
          <w:szCs w:val="28"/>
        </w:rPr>
        <w:t>Ancora</w:t>
      </w:r>
      <w:r w:rsidR="004A1876">
        <w:rPr>
          <w:rFonts w:ascii="Times New Roman" w:hAnsi="Times New Roman" w:cs="Times New Roman"/>
          <w:sz w:val="28"/>
          <w:szCs w:val="28"/>
        </w:rPr>
        <w:t>, secondo la Cassazione,</w:t>
      </w:r>
      <w:r w:rsidR="00101037">
        <w:rPr>
          <w:rFonts w:ascii="Times New Roman" w:hAnsi="Times New Roman" w:cs="Times New Roman"/>
          <w:sz w:val="28"/>
          <w:szCs w:val="28"/>
        </w:rPr>
        <w:t xml:space="preserve"> doveva</w:t>
      </w:r>
      <w:r w:rsidRPr="00814FE2">
        <w:rPr>
          <w:rFonts w:ascii="Times New Roman" w:hAnsi="Times New Roman" w:cs="Times New Roman"/>
          <w:sz w:val="28"/>
          <w:szCs w:val="28"/>
        </w:rPr>
        <w:t xml:space="preserve"> rilevarsi, con riferimento a tutte le censure contenute nel motivo, come le stesse - sotto la veste di doglianze per violazione di legge </w:t>
      </w:r>
      <w:r w:rsidR="00101037">
        <w:rPr>
          <w:rFonts w:ascii="Times New Roman" w:hAnsi="Times New Roman" w:cs="Times New Roman"/>
          <w:sz w:val="28"/>
          <w:szCs w:val="28"/>
        </w:rPr>
        <w:t>o vizi di motivazione - apparivano</w:t>
      </w:r>
      <w:r w:rsidRPr="00814FE2">
        <w:rPr>
          <w:rFonts w:ascii="Times New Roman" w:hAnsi="Times New Roman" w:cs="Times New Roman"/>
          <w:sz w:val="28"/>
          <w:szCs w:val="28"/>
        </w:rPr>
        <w:t xml:space="preserve"> </w:t>
      </w:r>
      <w:r w:rsidRPr="004A1876">
        <w:rPr>
          <w:rFonts w:ascii="Times New Roman" w:hAnsi="Times New Roman" w:cs="Times New Roman"/>
          <w:b/>
          <w:sz w:val="28"/>
          <w:szCs w:val="28"/>
        </w:rPr>
        <w:t>finalizzate a sollecitare un riesame, inesigibile in sede di legittimità, di apprezzamenti fattuali di stretta spettanza del giudice di merito.</w:t>
      </w:r>
    </w:p>
    <w:p w:rsidR="00814FE2" w:rsidRDefault="00814FE2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Tanto </w:t>
      </w:r>
      <w:r w:rsidR="004A1876">
        <w:rPr>
          <w:rFonts w:ascii="Times New Roman" w:hAnsi="Times New Roman" w:cs="Times New Roman"/>
          <w:sz w:val="28"/>
          <w:szCs w:val="28"/>
        </w:rPr>
        <w:t xml:space="preserve">è </w:t>
      </w:r>
      <w:r>
        <w:rPr>
          <w:rFonts w:ascii="Times New Roman" w:hAnsi="Times New Roman" w:cs="Times New Roman"/>
          <w:sz w:val="28"/>
          <w:szCs w:val="28"/>
        </w:rPr>
        <w:t>basta</w:t>
      </w:r>
      <w:r w:rsidR="004A1876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per il rigetto della domanda.</w:t>
      </w:r>
    </w:p>
    <w:p w:rsidR="00556834" w:rsidRDefault="00814FE2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Corte di Cassazione</w:t>
      </w:r>
      <w:r w:rsidR="00101037">
        <w:rPr>
          <w:rFonts w:ascii="Times New Roman" w:hAnsi="Times New Roman" w:cs="Times New Roman"/>
          <w:sz w:val="28"/>
          <w:szCs w:val="28"/>
        </w:rPr>
        <w:t xml:space="preserve"> però</w:t>
      </w:r>
      <w:r w:rsidR="004A1876">
        <w:rPr>
          <w:rFonts w:ascii="Times New Roman" w:hAnsi="Times New Roman" w:cs="Times New Roman"/>
          <w:sz w:val="28"/>
          <w:szCs w:val="28"/>
        </w:rPr>
        <w:t xml:space="preserve">, </w:t>
      </w:r>
      <w:r w:rsidR="00101037">
        <w:rPr>
          <w:rFonts w:ascii="Times New Roman" w:hAnsi="Times New Roman" w:cs="Times New Roman"/>
          <w:sz w:val="28"/>
          <w:szCs w:val="28"/>
        </w:rPr>
        <w:t xml:space="preserve">pur </w:t>
      </w:r>
      <w:r>
        <w:rPr>
          <w:rFonts w:ascii="Times New Roman" w:hAnsi="Times New Roman" w:cs="Times New Roman"/>
          <w:sz w:val="28"/>
          <w:szCs w:val="28"/>
        </w:rPr>
        <w:t>confermando il rigetto</w:t>
      </w:r>
      <w:r w:rsidR="004A1876">
        <w:rPr>
          <w:rFonts w:ascii="Times New Roman" w:hAnsi="Times New Roman" w:cs="Times New Roman"/>
          <w:sz w:val="28"/>
          <w:szCs w:val="28"/>
        </w:rPr>
        <w:t xml:space="preserve"> del ricorso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1876">
        <w:rPr>
          <w:rFonts w:ascii="Times New Roman" w:hAnsi="Times New Roman" w:cs="Times New Roman"/>
          <w:sz w:val="28"/>
          <w:szCs w:val="28"/>
        </w:rPr>
        <w:t xml:space="preserve"> scende </w:t>
      </w:r>
      <w:r w:rsidR="00556834">
        <w:rPr>
          <w:rFonts w:ascii="Times New Roman" w:hAnsi="Times New Roman" w:cs="Times New Roman"/>
          <w:sz w:val="28"/>
          <w:szCs w:val="28"/>
        </w:rPr>
        <w:t xml:space="preserve">anche </w:t>
      </w:r>
      <w:r>
        <w:rPr>
          <w:rFonts w:ascii="Times New Roman" w:hAnsi="Times New Roman" w:cs="Times New Roman"/>
          <w:sz w:val="28"/>
          <w:szCs w:val="28"/>
        </w:rPr>
        <w:t xml:space="preserve">nel merito di </w:t>
      </w:r>
      <w:r w:rsidR="00556834">
        <w:rPr>
          <w:rFonts w:ascii="Times New Roman" w:hAnsi="Times New Roman" w:cs="Times New Roman"/>
          <w:sz w:val="28"/>
          <w:szCs w:val="28"/>
        </w:rPr>
        <w:t>un unico</w:t>
      </w:r>
      <w:r w:rsidR="004A1876">
        <w:rPr>
          <w:rFonts w:ascii="Times New Roman" w:hAnsi="Times New Roman" w:cs="Times New Roman"/>
          <w:sz w:val="28"/>
          <w:szCs w:val="28"/>
        </w:rPr>
        <w:t xml:space="preserve"> motivo</w:t>
      </w:r>
      <w:r w:rsidR="005568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che </w:t>
      </w:r>
      <w:r w:rsidR="00556834">
        <w:rPr>
          <w:rFonts w:ascii="Times New Roman" w:hAnsi="Times New Roman" w:cs="Times New Roman"/>
          <w:sz w:val="28"/>
          <w:szCs w:val="28"/>
        </w:rPr>
        <w:t xml:space="preserve">dà lo spunto alle presenti note, in quanto </w:t>
      </w:r>
      <w:r>
        <w:rPr>
          <w:rFonts w:ascii="Times New Roman" w:hAnsi="Times New Roman" w:cs="Times New Roman"/>
          <w:sz w:val="28"/>
          <w:szCs w:val="28"/>
        </w:rPr>
        <w:t>di inter</w:t>
      </w:r>
      <w:r w:rsidR="004A1876">
        <w:rPr>
          <w:rFonts w:ascii="Times New Roman" w:hAnsi="Times New Roman" w:cs="Times New Roman"/>
          <w:sz w:val="28"/>
          <w:szCs w:val="28"/>
        </w:rPr>
        <w:t>esse nella materia condominiale</w:t>
      </w:r>
      <w:r w:rsidR="00556834">
        <w:rPr>
          <w:rFonts w:ascii="Times New Roman" w:hAnsi="Times New Roman" w:cs="Times New Roman"/>
          <w:sz w:val="28"/>
          <w:szCs w:val="28"/>
        </w:rPr>
        <w:t>.</w:t>
      </w:r>
    </w:p>
    <w:p w:rsidR="00814FE2" w:rsidRDefault="00556834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motivo </w:t>
      </w:r>
      <w:r w:rsidR="004A1876">
        <w:rPr>
          <w:rFonts w:ascii="Times New Roman" w:hAnsi="Times New Roman" w:cs="Times New Roman"/>
          <w:sz w:val="28"/>
          <w:szCs w:val="28"/>
        </w:rPr>
        <w:t>va menz</w:t>
      </w:r>
      <w:r w:rsidR="00101037">
        <w:rPr>
          <w:rFonts w:ascii="Times New Roman" w:hAnsi="Times New Roman" w:cs="Times New Roman"/>
          <w:sz w:val="28"/>
          <w:szCs w:val="28"/>
        </w:rPr>
        <w:t>ionato per la sua particolarità e sottigliezza.</w:t>
      </w:r>
    </w:p>
    <w:p w:rsidR="00814FE2" w:rsidRDefault="00814FE2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tratta</w:t>
      </w:r>
      <w:r w:rsidRPr="00814FE2">
        <w:rPr>
          <w:rFonts w:ascii="Times New Roman" w:hAnsi="Times New Roman" w:cs="Times New Roman"/>
          <w:sz w:val="28"/>
          <w:szCs w:val="28"/>
        </w:rPr>
        <w:t xml:space="preserve"> del rilievo secondo il quale, per la ricorrente, l'avere essa posseduto la propria unità abitativa sarebbe requisito </w:t>
      </w:r>
      <w:r w:rsidR="00101037">
        <w:rPr>
          <w:rFonts w:ascii="Times New Roman" w:hAnsi="Times New Roman" w:cs="Times New Roman"/>
          <w:sz w:val="28"/>
          <w:szCs w:val="28"/>
        </w:rPr>
        <w:t xml:space="preserve">di per sé </w:t>
      </w:r>
      <w:r w:rsidRPr="00814FE2">
        <w:rPr>
          <w:rFonts w:ascii="Times New Roman" w:hAnsi="Times New Roman" w:cs="Times New Roman"/>
          <w:sz w:val="28"/>
          <w:szCs w:val="28"/>
        </w:rPr>
        <w:t>abilitante, unitamente alla presunzione di condominialità dei pianerottoli, alla tutela per reintegra del possesso</w:t>
      </w:r>
      <w:r w:rsidR="001850C7">
        <w:rPr>
          <w:rFonts w:ascii="Times New Roman" w:hAnsi="Times New Roman" w:cs="Times New Roman"/>
          <w:sz w:val="28"/>
          <w:szCs w:val="28"/>
        </w:rPr>
        <w:t>.</w:t>
      </w:r>
    </w:p>
    <w:p w:rsidR="001850C7" w:rsidRDefault="001850C7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poche parole la ricorrente giustificava la sua azione </w:t>
      </w:r>
      <w:r w:rsidR="004A1876">
        <w:rPr>
          <w:rFonts w:ascii="Times New Roman" w:hAnsi="Times New Roman" w:cs="Times New Roman"/>
          <w:sz w:val="28"/>
          <w:szCs w:val="28"/>
        </w:rPr>
        <w:t xml:space="preserve">possessoria </w:t>
      </w:r>
      <w:r>
        <w:rPr>
          <w:rFonts w:ascii="Times New Roman" w:hAnsi="Times New Roman" w:cs="Times New Roman"/>
          <w:sz w:val="28"/>
          <w:szCs w:val="28"/>
        </w:rPr>
        <w:t>per il fatto che era stato leso il suo possesso sul ballatoio comune.</w:t>
      </w:r>
    </w:p>
    <w:p w:rsidR="001850C7" w:rsidRDefault="001850C7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Possesso che la stessa sosteneva di avere, in automatico, in cons</w:t>
      </w:r>
      <w:r w:rsidR="00101037">
        <w:rPr>
          <w:rFonts w:ascii="Times New Roman" w:hAnsi="Times New Roman" w:cs="Times New Roman"/>
          <w:sz w:val="28"/>
          <w:szCs w:val="28"/>
        </w:rPr>
        <w:t>eguenza del possesso del</w:t>
      </w:r>
      <w:r>
        <w:rPr>
          <w:rFonts w:ascii="Times New Roman" w:hAnsi="Times New Roman" w:cs="Times New Roman"/>
          <w:sz w:val="28"/>
          <w:szCs w:val="28"/>
        </w:rPr>
        <w:t xml:space="preserve"> proprio appartamento.</w:t>
      </w:r>
    </w:p>
    <w:p w:rsidR="001850C7" w:rsidRDefault="001850C7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556834">
        <w:rPr>
          <w:rFonts w:ascii="Times New Roman" w:hAnsi="Times New Roman" w:cs="Times New Roman"/>
          <w:sz w:val="28"/>
          <w:szCs w:val="28"/>
        </w:rPr>
        <w:t xml:space="preserve">altri </w:t>
      </w:r>
      <w:r>
        <w:rPr>
          <w:rFonts w:ascii="Times New Roman" w:hAnsi="Times New Roman" w:cs="Times New Roman"/>
          <w:sz w:val="28"/>
          <w:szCs w:val="28"/>
        </w:rPr>
        <w:t xml:space="preserve">termini ancora più concisi, </w:t>
      </w:r>
      <w:r w:rsidR="00101037">
        <w:rPr>
          <w:rFonts w:ascii="Times New Roman" w:hAnsi="Times New Roman" w:cs="Times New Roman"/>
          <w:sz w:val="28"/>
          <w:szCs w:val="28"/>
        </w:rPr>
        <w:t xml:space="preserve">per la ricorrente la regola iuris sarebbe la seguente: </w:t>
      </w:r>
      <w:r w:rsidR="00556834">
        <w:rPr>
          <w:rFonts w:ascii="Times New Roman" w:hAnsi="Times New Roman" w:cs="Times New Roman"/>
          <w:sz w:val="28"/>
          <w:szCs w:val="28"/>
        </w:rPr>
        <w:t>io possiedo un</w:t>
      </w:r>
      <w:r>
        <w:rPr>
          <w:rFonts w:ascii="Times New Roman" w:hAnsi="Times New Roman" w:cs="Times New Roman"/>
          <w:sz w:val="28"/>
          <w:szCs w:val="28"/>
        </w:rPr>
        <w:t xml:space="preserve"> immobile </w:t>
      </w:r>
      <w:r w:rsidR="00101037">
        <w:rPr>
          <w:rFonts w:ascii="Times New Roman" w:hAnsi="Times New Roman" w:cs="Times New Roman"/>
          <w:sz w:val="28"/>
          <w:szCs w:val="28"/>
        </w:rPr>
        <w:t xml:space="preserve">situato </w:t>
      </w:r>
      <w:r w:rsidR="00556834">
        <w:rPr>
          <w:rFonts w:ascii="Times New Roman" w:hAnsi="Times New Roman" w:cs="Times New Roman"/>
          <w:sz w:val="28"/>
          <w:szCs w:val="28"/>
        </w:rPr>
        <w:t>nell’</w:t>
      </w:r>
      <w:r w:rsidR="00101037">
        <w:rPr>
          <w:rFonts w:ascii="Times New Roman" w:hAnsi="Times New Roman" w:cs="Times New Roman"/>
          <w:sz w:val="28"/>
          <w:szCs w:val="28"/>
        </w:rPr>
        <w:t xml:space="preserve">edificio in </w:t>
      </w:r>
      <w:r>
        <w:rPr>
          <w:rFonts w:ascii="Times New Roman" w:hAnsi="Times New Roman" w:cs="Times New Roman"/>
          <w:sz w:val="28"/>
          <w:szCs w:val="28"/>
        </w:rPr>
        <w:t xml:space="preserve">condominio e perciò possiedo </w:t>
      </w:r>
      <w:r w:rsidR="004A1876">
        <w:rPr>
          <w:rFonts w:ascii="Times New Roman" w:hAnsi="Times New Roman" w:cs="Times New Roman"/>
          <w:sz w:val="28"/>
          <w:szCs w:val="28"/>
        </w:rPr>
        <w:t xml:space="preserve">in automatico, ai fini dell’esperimento di una azione possessoria, </w:t>
      </w:r>
      <w:r w:rsidR="00101037">
        <w:rPr>
          <w:rFonts w:ascii="Times New Roman" w:hAnsi="Times New Roman" w:cs="Times New Roman"/>
          <w:sz w:val="28"/>
          <w:szCs w:val="28"/>
        </w:rPr>
        <w:t>anche le parti comuni, ivi compreso il ballatoio.</w:t>
      </w:r>
    </w:p>
    <w:p w:rsidR="001850C7" w:rsidRDefault="00A4603D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Cassazione smentisce tale regola</w:t>
      </w:r>
      <w:r w:rsidR="001850C7">
        <w:rPr>
          <w:rFonts w:ascii="Times New Roman" w:hAnsi="Times New Roman" w:cs="Times New Roman"/>
          <w:sz w:val="28"/>
          <w:szCs w:val="28"/>
        </w:rPr>
        <w:t>, richiamando due sue precedenti sentenze, la n. 16496 del 2005 e la 7748 del 2011.</w:t>
      </w:r>
    </w:p>
    <w:p w:rsidR="004A1876" w:rsidRDefault="001850C7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Secondo tali sentenze, in tema di condominio, </w:t>
      </w:r>
      <w:r w:rsidRPr="001850C7">
        <w:rPr>
          <w:rFonts w:ascii="Times New Roman" w:hAnsi="Times New Roman" w:cs="Times New Roman"/>
          <w:sz w:val="28"/>
          <w:szCs w:val="28"/>
        </w:rPr>
        <w:t>le parti comuni di un edificio formano oggetto di un compossesso pro indiviso che si esercita div</w:t>
      </w:r>
      <w:r w:rsidR="004A1876">
        <w:rPr>
          <w:rFonts w:ascii="Times New Roman" w:hAnsi="Times New Roman" w:cs="Times New Roman"/>
          <w:sz w:val="28"/>
          <w:szCs w:val="28"/>
        </w:rPr>
        <w:t xml:space="preserve">ersamente a </w:t>
      </w:r>
      <w:r w:rsidR="00A4603D">
        <w:rPr>
          <w:rFonts w:ascii="Times New Roman" w:hAnsi="Times New Roman" w:cs="Times New Roman"/>
          <w:sz w:val="28"/>
          <w:szCs w:val="28"/>
        </w:rPr>
        <w:t>seconda delle cose che ne fanno oggetto</w:t>
      </w:r>
    </w:p>
    <w:p w:rsidR="004A1876" w:rsidRDefault="004A1876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Cassazione distingue </w:t>
      </w:r>
      <w:r w:rsidR="00A4603D">
        <w:rPr>
          <w:rFonts w:ascii="Times New Roman" w:hAnsi="Times New Roman" w:cs="Times New Roman"/>
          <w:sz w:val="28"/>
          <w:szCs w:val="28"/>
        </w:rPr>
        <w:t xml:space="preserve">a questo proposito </w:t>
      </w:r>
      <w:r>
        <w:rPr>
          <w:rFonts w:ascii="Times New Roman" w:hAnsi="Times New Roman" w:cs="Times New Roman"/>
          <w:sz w:val="28"/>
          <w:szCs w:val="28"/>
        </w:rPr>
        <w:t>tra gli impianti ed i servizi che sono</w:t>
      </w:r>
      <w:r w:rsidR="001850C7" w:rsidRPr="001850C7">
        <w:rPr>
          <w:rFonts w:ascii="Times New Roman" w:hAnsi="Times New Roman" w:cs="Times New Roman"/>
          <w:sz w:val="28"/>
          <w:szCs w:val="28"/>
        </w:rPr>
        <w:t xml:space="preserve"> </w:t>
      </w:r>
      <w:r w:rsidR="001850C7" w:rsidRPr="001850C7">
        <w:rPr>
          <w:rFonts w:ascii="Times New Roman" w:hAnsi="Times New Roman" w:cs="Times New Roman"/>
          <w:b/>
          <w:sz w:val="28"/>
          <w:szCs w:val="28"/>
        </w:rPr>
        <w:t>oggettivamente utili</w:t>
      </w:r>
      <w:r w:rsidR="001850C7" w:rsidRPr="001850C7">
        <w:rPr>
          <w:rFonts w:ascii="Times New Roman" w:hAnsi="Times New Roman" w:cs="Times New Roman"/>
          <w:sz w:val="28"/>
          <w:szCs w:val="28"/>
        </w:rPr>
        <w:t xml:space="preserve"> alle singole unità immobiliari, a cui sono collegati materialmente </w:t>
      </w:r>
      <w:r w:rsidR="001850C7" w:rsidRPr="001850C7">
        <w:rPr>
          <w:rFonts w:ascii="Times New Roman" w:hAnsi="Times New Roman" w:cs="Times New Roman"/>
          <w:sz w:val="28"/>
          <w:szCs w:val="28"/>
        </w:rPr>
        <w:lastRenderedPageBreak/>
        <w:t xml:space="preserve">o per destinazione funzionale (come ad esempio per </w:t>
      </w:r>
      <w:r w:rsidR="001850C7" w:rsidRPr="003C49D3">
        <w:rPr>
          <w:rFonts w:ascii="Times New Roman" w:hAnsi="Times New Roman" w:cs="Times New Roman"/>
          <w:b/>
          <w:sz w:val="28"/>
          <w:szCs w:val="28"/>
        </w:rPr>
        <w:t>suolo, fondazioni, muri maestri, facciata, tetti, lastrici solari, oggettivamente utili per la statica</w:t>
      </w:r>
      <w:r w:rsidR="001850C7" w:rsidRPr="001850C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da quelli che sono</w:t>
      </w:r>
      <w:r w:rsidR="001850C7" w:rsidRPr="001850C7">
        <w:rPr>
          <w:rFonts w:ascii="Times New Roman" w:hAnsi="Times New Roman" w:cs="Times New Roman"/>
          <w:sz w:val="28"/>
          <w:szCs w:val="28"/>
        </w:rPr>
        <w:t xml:space="preserve"> </w:t>
      </w:r>
      <w:r w:rsidR="001850C7" w:rsidRPr="001850C7">
        <w:rPr>
          <w:rFonts w:ascii="Times New Roman" w:hAnsi="Times New Roman" w:cs="Times New Roman"/>
          <w:b/>
          <w:sz w:val="28"/>
          <w:szCs w:val="28"/>
        </w:rPr>
        <w:t>soggettivamente</w:t>
      </w:r>
      <w:r w:rsidRPr="004A1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0C7">
        <w:rPr>
          <w:rFonts w:ascii="Times New Roman" w:hAnsi="Times New Roman" w:cs="Times New Roman"/>
          <w:b/>
          <w:sz w:val="28"/>
          <w:szCs w:val="28"/>
        </w:rPr>
        <w:t>utili</w:t>
      </w:r>
      <w:r w:rsidR="00556834">
        <w:rPr>
          <w:rFonts w:ascii="Times New Roman" w:hAnsi="Times New Roman" w:cs="Times New Roman"/>
          <w:sz w:val="28"/>
          <w:szCs w:val="28"/>
        </w:rPr>
        <w:t>, sicché</w:t>
      </w:r>
      <w:r w:rsidR="001850C7" w:rsidRPr="001850C7">
        <w:rPr>
          <w:rFonts w:ascii="Times New Roman" w:hAnsi="Times New Roman" w:cs="Times New Roman"/>
          <w:sz w:val="28"/>
          <w:szCs w:val="28"/>
        </w:rPr>
        <w:t xml:space="preserve"> la loro unione materiale o la destinazione funzionale ai piani o porzioni di piano dip</w:t>
      </w:r>
      <w:r>
        <w:rPr>
          <w:rFonts w:ascii="Times New Roman" w:hAnsi="Times New Roman" w:cs="Times New Roman"/>
          <w:sz w:val="28"/>
          <w:szCs w:val="28"/>
        </w:rPr>
        <w:t>ende</w:t>
      </w:r>
      <w:r w:rsidR="001850C7" w:rsidRPr="001850C7">
        <w:rPr>
          <w:rFonts w:ascii="Times New Roman" w:hAnsi="Times New Roman" w:cs="Times New Roman"/>
          <w:sz w:val="28"/>
          <w:szCs w:val="28"/>
        </w:rPr>
        <w:t xml:space="preserve"> dall'attività dei rispettivi proprietari (come ad esempio per </w:t>
      </w:r>
      <w:r w:rsidR="001850C7" w:rsidRPr="00CE5521">
        <w:rPr>
          <w:rFonts w:ascii="Times New Roman" w:hAnsi="Times New Roman" w:cs="Times New Roman"/>
          <w:b/>
          <w:sz w:val="28"/>
          <w:szCs w:val="28"/>
        </w:rPr>
        <w:t xml:space="preserve">scale, portoni, anditi, portici, stenditoi, ascensore, impianti centralizzati per l'acqua calda o per aria </w:t>
      </w:r>
      <w:r w:rsidRPr="00CE5521">
        <w:rPr>
          <w:rFonts w:ascii="Times New Roman" w:hAnsi="Times New Roman" w:cs="Times New Roman"/>
          <w:b/>
          <w:sz w:val="28"/>
          <w:szCs w:val="28"/>
        </w:rPr>
        <w:t>condizionata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A1876" w:rsidRDefault="004A1876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850C7" w:rsidRPr="001850C7">
        <w:rPr>
          <w:rFonts w:ascii="Times New Roman" w:hAnsi="Times New Roman" w:cs="Times New Roman"/>
          <w:sz w:val="28"/>
          <w:szCs w:val="28"/>
        </w:rPr>
        <w:t xml:space="preserve">ertanto, nel primo caso l'esercizio del possesso consiste nel beneficio che il piano o la porzione di piano - e soltanto per traslato il proprietario - trae da tali utilità, nel </w:t>
      </w:r>
      <w:r w:rsidR="00556834">
        <w:rPr>
          <w:rFonts w:ascii="Times New Roman" w:hAnsi="Times New Roman" w:cs="Times New Roman"/>
          <w:sz w:val="28"/>
          <w:szCs w:val="28"/>
        </w:rPr>
        <w:t>secondo caso nell’</w:t>
      </w:r>
      <w:r w:rsidR="001850C7" w:rsidRPr="001850C7">
        <w:rPr>
          <w:rFonts w:ascii="Times New Roman" w:hAnsi="Times New Roman" w:cs="Times New Roman"/>
          <w:sz w:val="28"/>
          <w:szCs w:val="28"/>
        </w:rPr>
        <w:t xml:space="preserve">espletamento della predetta attività da parte del proprietario. </w:t>
      </w:r>
    </w:p>
    <w:p w:rsidR="00245F26" w:rsidRDefault="001850C7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 w:rsidRPr="001850C7">
        <w:rPr>
          <w:rFonts w:ascii="Times New Roman" w:hAnsi="Times New Roman" w:cs="Times New Roman"/>
          <w:sz w:val="28"/>
          <w:szCs w:val="28"/>
        </w:rPr>
        <w:t xml:space="preserve">Ciò posto, </w:t>
      </w:r>
      <w:r>
        <w:rPr>
          <w:rFonts w:ascii="Times New Roman" w:hAnsi="Times New Roman" w:cs="Times New Roman"/>
          <w:sz w:val="28"/>
          <w:szCs w:val="28"/>
        </w:rPr>
        <w:t xml:space="preserve">la Corte di Cassazione </w:t>
      </w:r>
      <w:r w:rsidRPr="001850C7">
        <w:rPr>
          <w:rFonts w:ascii="Times New Roman" w:hAnsi="Times New Roman" w:cs="Times New Roman"/>
          <w:sz w:val="28"/>
          <w:szCs w:val="28"/>
        </w:rPr>
        <w:t>ha precisato</w:t>
      </w:r>
      <w:r w:rsidR="00556834">
        <w:rPr>
          <w:rFonts w:ascii="Times New Roman" w:hAnsi="Times New Roman" w:cs="Times New Roman"/>
          <w:sz w:val="28"/>
          <w:szCs w:val="28"/>
        </w:rPr>
        <w:t xml:space="preserve"> che</w:t>
      </w:r>
      <w:r w:rsidR="004A1876">
        <w:rPr>
          <w:rFonts w:ascii="Times New Roman" w:hAnsi="Times New Roman" w:cs="Times New Roman"/>
          <w:sz w:val="28"/>
          <w:szCs w:val="28"/>
        </w:rPr>
        <w:t xml:space="preserve">, alle condizioni di cui sopra, </w:t>
      </w:r>
      <w:r w:rsidRPr="001850C7">
        <w:rPr>
          <w:rFonts w:ascii="Times New Roman" w:hAnsi="Times New Roman" w:cs="Times New Roman"/>
          <w:sz w:val="28"/>
          <w:szCs w:val="28"/>
        </w:rPr>
        <w:t xml:space="preserve"> qualora uno dei condomini, senza il consenso degli altri ed in loro pregiudizio, abbia alterato o violato lo stato di fatto o la destinazione della cosa comune impedendo o restringendo il godimento spettante a ciascun possessore pro indiviso sulla cosa medesima in modo da sottrarla alla sua specifica funzione, sono esperibili da parte degli altri comproprietari le azioni a difesa del compossesso per conseguire la riduzione della cosa al pristino stato, allo scopo di trarne quella utilitas alla quale la cosa era asservita prima </w:t>
      </w:r>
      <w:r w:rsidR="004A1876">
        <w:rPr>
          <w:rFonts w:ascii="Times New Roman" w:hAnsi="Times New Roman" w:cs="Times New Roman"/>
          <w:sz w:val="28"/>
          <w:szCs w:val="28"/>
        </w:rPr>
        <w:t>della contestata modificazione.</w:t>
      </w:r>
    </w:p>
    <w:p w:rsidR="00245F26" w:rsidRDefault="00245F26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conclusione, </w:t>
      </w:r>
      <w:r w:rsidR="00556834">
        <w:rPr>
          <w:rFonts w:ascii="Times New Roman" w:hAnsi="Times New Roman" w:cs="Times New Roman"/>
          <w:sz w:val="28"/>
          <w:szCs w:val="28"/>
        </w:rPr>
        <w:t>tenuto conto di tutto qu</w:t>
      </w:r>
      <w:r w:rsidR="00B33D1D">
        <w:rPr>
          <w:rFonts w:ascii="Times New Roman" w:hAnsi="Times New Roman" w:cs="Times New Roman"/>
          <w:sz w:val="28"/>
          <w:szCs w:val="28"/>
        </w:rPr>
        <w:t>a</w:t>
      </w:r>
      <w:r w:rsidR="00556834">
        <w:rPr>
          <w:rFonts w:ascii="Times New Roman" w:hAnsi="Times New Roman" w:cs="Times New Roman"/>
          <w:sz w:val="28"/>
          <w:szCs w:val="28"/>
        </w:rPr>
        <w:t xml:space="preserve">nto sopra, </w:t>
      </w:r>
      <w:r>
        <w:rPr>
          <w:rFonts w:ascii="Times New Roman" w:hAnsi="Times New Roman" w:cs="Times New Roman"/>
          <w:sz w:val="28"/>
          <w:szCs w:val="28"/>
        </w:rPr>
        <w:t xml:space="preserve">rientrando il </w:t>
      </w:r>
      <w:r w:rsidRPr="004A1876">
        <w:rPr>
          <w:rFonts w:ascii="Times New Roman" w:hAnsi="Times New Roman" w:cs="Times New Roman"/>
          <w:b/>
          <w:sz w:val="28"/>
          <w:szCs w:val="28"/>
        </w:rPr>
        <w:t xml:space="preserve">ballatoio </w:t>
      </w:r>
      <w:r>
        <w:rPr>
          <w:rFonts w:ascii="Times New Roman" w:hAnsi="Times New Roman" w:cs="Times New Roman"/>
          <w:sz w:val="28"/>
          <w:szCs w:val="28"/>
        </w:rPr>
        <w:t xml:space="preserve">tra le cose comuni </w:t>
      </w:r>
      <w:r w:rsidRPr="004A1876">
        <w:rPr>
          <w:rFonts w:ascii="Times New Roman" w:hAnsi="Times New Roman" w:cs="Times New Roman"/>
          <w:b/>
          <w:sz w:val="28"/>
          <w:szCs w:val="28"/>
        </w:rPr>
        <w:t>soggettivamente utili</w:t>
      </w:r>
      <w:r>
        <w:rPr>
          <w:rFonts w:ascii="Times New Roman" w:hAnsi="Times New Roman" w:cs="Times New Roman"/>
          <w:sz w:val="28"/>
          <w:szCs w:val="28"/>
        </w:rPr>
        <w:t>, il suo possesso da parte della ricorrente non poteva darsi per scontato, per il solo fatto che es</w:t>
      </w:r>
      <w:r w:rsidR="003C49D3">
        <w:rPr>
          <w:rFonts w:ascii="Times New Roman" w:hAnsi="Times New Roman" w:cs="Times New Roman"/>
          <w:sz w:val="28"/>
          <w:szCs w:val="28"/>
        </w:rPr>
        <w:t>sa possedeva il proprio immobile</w:t>
      </w:r>
      <w:r w:rsidR="00A4603D">
        <w:rPr>
          <w:rFonts w:ascii="Times New Roman" w:hAnsi="Times New Roman" w:cs="Times New Roman"/>
          <w:sz w:val="28"/>
          <w:szCs w:val="28"/>
        </w:rPr>
        <w:t xml:space="preserve"> in condominio</w:t>
      </w:r>
      <w:r>
        <w:rPr>
          <w:rFonts w:ascii="Times New Roman" w:hAnsi="Times New Roman" w:cs="Times New Roman"/>
          <w:sz w:val="28"/>
          <w:szCs w:val="28"/>
        </w:rPr>
        <w:t>, come invece sarebbe accaduto nel caso di cose comuni oggettivamente utili.</w:t>
      </w:r>
    </w:p>
    <w:p w:rsidR="00245F26" w:rsidRDefault="00245F26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deriva, sotto il profilo probatorio, che era necessaria la relativa prova del possesso specificatamente riferit</w:t>
      </w:r>
      <w:r w:rsidR="00556834">
        <w:rPr>
          <w:rFonts w:ascii="Times New Roman" w:hAnsi="Times New Roman" w:cs="Times New Roman"/>
          <w:sz w:val="28"/>
          <w:szCs w:val="28"/>
        </w:rPr>
        <w:t>a alla porzione di parte comune (il ballatoio).</w:t>
      </w:r>
      <w:bookmarkStart w:id="0" w:name="_GoBack"/>
      <w:bookmarkEnd w:id="0"/>
    </w:p>
    <w:p w:rsidR="00245F26" w:rsidRDefault="00245F26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Prova che, nell’occasione, non era stata fornita, con conseguente </w:t>
      </w:r>
      <w:r w:rsidR="003C49D3">
        <w:rPr>
          <w:rFonts w:ascii="Times New Roman" w:hAnsi="Times New Roman" w:cs="Times New Roman"/>
          <w:sz w:val="28"/>
          <w:szCs w:val="28"/>
        </w:rPr>
        <w:t xml:space="preserve">ulteriore </w:t>
      </w:r>
      <w:r>
        <w:rPr>
          <w:rFonts w:ascii="Times New Roman" w:hAnsi="Times New Roman" w:cs="Times New Roman"/>
          <w:sz w:val="28"/>
          <w:szCs w:val="28"/>
        </w:rPr>
        <w:t>motivo di rigetto del ricorso</w:t>
      </w:r>
      <w:r w:rsidR="00A460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anche nel merito.</w:t>
      </w:r>
    </w:p>
    <w:p w:rsidR="003C49D3" w:rsidRDefault="00A4603D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Diverso </w:t>
      </w:r>
      <w:r w:rsidR="003C49D3">
        <w:rPr>
          <w:rFonts w:ascii="Times New Roman" w:hAnsi="Times New Roman" w:cs="Times New Roman"/>
          <w:sz w:val="28"/>
          <w:szCs w:val="28"/>
        </w:rPr>
        <w:t>il caso in cui l’oggetto del contender</w:t>
      </w:r>
      <w:r>
        <w:rPr>
          <w:rFonts w:ascii="Times New Roman" w:hAnsi="Times New Roman" w:cs="Times New Roman"/>
          <w:sz w:val="28"/>
          <w:szCs w:val="28"/>
        </w:rPr>
        <w:t>e fosse</w:t>
      </w:r>
      <w:r w:rsidR="003C49D3">
        <w:rPr>
          <w:rFonts w:ascii="Times New Roman" w:hAnsi="Times New Roman" w:cs="Times New Roman"/>
          <w:sz w:val="28"/>
          <w:szCs w:val="28"/>
        </w:rPr>
        <w:t xml:space="preserve"> stato un </w:t>
      </w:r>
      <w:r w:rsidR="003C49D3" w:rsidRPr="003C49D3">
        <w:rPr>
          <w:rFonts w:ascii="Times New Roman" w:hAnsi="Times New Roman" w:cs="Times New Roman"/>
          <w:b/>
          <w:sz w:val="28"/>
          <w:szCs w:val="28"/>
        </w:rPr>
        <w:t>muro condominiale</w:t>
      </w:r>
      <w:r w:rsidR="003C49D3">
        <w:rPr>
          <w:rFonts w:ascii="Times New Roman" w:hAnsi="Times New Roman" w:cs="Times New Roman"/>
          <w:sz w:val="28"/>
          <w:szCs w:val="28"/>
        </w:rPr>
        <w:t>.</w:t>
      </w:r>
    </w:p>
    <w:p w:rsidR="003C49D3" w:rsidRDefault="003C49D3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questo caso: “</w:t>
      </w:r>
      <w:r w:rsidRPr="00A4603D">
        <w:rPr>
          <w:rFonts w:ascii="Times New Roman" w:hAnsi="Times New Roman" w:cs="Times New Roman"/>
          <w:i/>
          <w:sz w:val="28"/>
          <w:szCs w:val="28"/>
        </w:rPr>
        <w:t xml:space="preserve">La modifica di una parte comune e della sua destinazione ad opera di taluno dei condomini, sottraendo la cosa alla sua specifica funzione e quindi al compossesso di tutti i condomini, legittima di conseguenza gli altri condomini all'esperimento dell'azione di reintegrazione per conseguire la riduzione della cosa al pristino stato in modo che essa possa continuare a fornire quella utilitas alla quale era asservita anteriormente alla contestata modificazione, </w:t>
      </w:r>
      <w:r w:rsidRPr="00A4603D">
        <w:rPr>
          <w:rFonts w:ascii="Times New Roman" w:hAnsi="Times New Roman" w:cs="Times New Roman"/>
          <w:b/>
          <w:i/>
          <w:sz w:val="28"/>
          <w:szCs w:val="28"/>
        </w:rPr>
        <w:t>senza che sia necessaria la specifica prova del possesso di detta parte quando risulti che essa consista in una porzione immobiliare in cui l'edificio si articola</w:t>
      </w:r>
      <w:r>
        <w:rPr>
          <w:rFonts w:ascii="Times New Roman" w:hAnsi="Times New Roman" w:cs="Times New Roman"/>
          <w:sz w:val="28"/>
          <w:szCs w:val="28"/>
        </w:rPr>
        <w:t>”. (Cass. n. 16496/2005 e Cass. n. 7748/2011).</w:t>
      </w:r>
    </w:p>
    <w:p w:rsidR="00A4603D" w:rsidRDefault="00A4603D" w:rsidP="00EA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Avv. Pier Paolo Capponi</w:t>
      </w:r>
    </w:p>
    <w:p w:rsidR="00245F26" w:rsidRDefault="00245F26" w:rsidP="00EA0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FBB" w:rsidRPr="00A9501A" w:rsidRDefault="00BA6FBB" w:rsidP="00EA0A28">
      <w:pPr>
        <w:pStyle w:val="NormaleWeb"/>
        <w:shd w:val="clear" w:color="auto" w:fill="FFFFFF"/>
        <w:spacing w:before="75" w:beforeAutospacing="0" w:after="180" w:afterAutospacing="0"/>
        <w:jc w:val="both"/>
        <w:rPr>
          <w:sz w:val="28"/>
          <w:szCs w:val="28"/>
        </w:rPr>
      </w:pPr>
    </w:p>
    <w:sectPr w:rsidR="00BA6FBB" w:rsidRPr="00A95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8CE" w:rsidRDefault="001E58CE" w:rsidP="00FB745F">
      <w:pPr>
        <w:spacing w:after="0" w:line="240" w:lineRule="auto"/>
      </w:pPr>
      <w:r>
        <w:separator/>
      </w:r>
    </w:p>
  </w:endnote>
  <w:endnote w:type="continuationSeparator" w:id="0">
    <w:p w:rsidR="001E58CE" w:rsidRDefault="001E58CE" w:rsidP="00FB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8CE" w:rsidRDefault="001E58CE" w:rsidP="00FB745F">
      <w:pPr>
        <w:spacing w:after="0" w:line="240" w:lineRule="auto"/>
      </w:pPr>
      <w:r>
        <w:separator/>
      </w:r>
    </w:p>
  </w:footnote>
  <w:footnote w:type="continuationSeparator" w:id="0">
    <w:p w:rsidR="001E58CE" w:rsidRDefault="001E58CE" w:rsidP="00FB7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6D2D"/>
    <w:multiLevelType w:val="hybridMultilevel"/>
    <w:tmpl w:val="FD343C8C"/>
    <w:lvl w:ilvl="0" w:tplc="8626078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87C"/>
    <w:multiLevelType w:val="hybridMultilevel"/>
    <w:tmpl w:val="28B2BF96"/>
    <w:lvl w:ilvl="0" w:tplc="B9A81BE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D359E"/>
    <w:multiLevelType w:val="hybridMultilevel"/>
    <w:tmpl w:val="D7BC03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B1A4B"/>
    <w:multiLevelType w:val="hybridMultilevel"/>
    <w:tmpl w:val="643838AC"/>
    <w:lvl w:ilvl="0" w:tplc="57DC181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6D"/>
    <w:rsid w:val="0005551B"/>
    <w:rsid w:val="00091BAF"/>
    <w:rsid w:val="000A231D"/>
    <w:rsid w:val="000B4EB5"/>
    <w:rsid w:val="00101037"/>
    <w:rsid w:val="00101B22"/>
    <w:rsid w:val="0010540E"/>
    <w:rsid w:val="0011588A"/>
    <w:rsid w:val="001167A4"/>
    <w:rsid w:val="00150E04"/>
    <w:rsid w:val="00153FC3"/>
    <w:rsid w:val="00154A8F"/>
    <w:rsid w:val="00167B1C"/>
    <w:rsid w:val="001722B8"/>
    <w:rsid w:val="001850C7"/>
    <w:rsid w:val="001E58CE"/>
    <w:rsid w:val="0024154D"/>
    <w:rsid w:val="00245F26"/>
    <w:rsid w:val="002540E8"/>
    <w:rsid w:val="002550F9"/>
    <w:rsid w:val="00297786"/>
    <w:rsid w:val="002A71D6"/>
    <w:rsid w:val="002C0053"/>
    <w:rsid w:val="003131FF"/>
    <w:rsid w:val="00391056"/>
    <w:rsid w:val="003C49D3"/>
    <w:rsid w:val="003F204C"/>
    <w:rsid w:val="00426D78"/>
    <w:rsid w:val="004316DF"/>
    <w:rsid w:val="00441946"/>
    <w:rsid w:val="004562C3"/>
    <w:rsid w:val="00470F3A"/>
    <w:rsid w:val="00474865"/>
    <w:rsid w:val="004914B0"/>
    <w:rsid w:val="00493FCF"/>
    <w:rsid w:val="004A1876"/>
    <w:rsid w:val="004A7FD2"/>
    <w:rsid w:val="004B74B9"/>
    <w:rsid w:val="004D2742"/>
    <w:rsid w:val="00500C48"/>
    <w:rsid w:val="0050403F"/>
    <w:rsid w:val="00556834"/>
    <w:rsid w:val="00557BFD"/>
    <w:rsid w:val="00593B9C"/>
    <w:rsid w:val="005A369B"/>
    <w:rsid w:val="005F62BC"/>
    <w:rsid w:val="00610921"/>
    <w:rsid w:val="00626EC5"/>
    <w:rsid w:val="00633266"/>
    <w:rsid w:val="006A63C2"/>
    <w:rsid w:val="006C6505"/>
    <w:rsid w:val="006C6EC4"/>
    <w:rsid w:val="006F3DF2"/>
    <w:rsid w:val="006F6B12"/>
    <w:rsid w:val="0070494E"/>
    <w:rsid w:val="00715042"/>
    <w:rsid w:val="00764F19"/>
    <w:rsid w:val="007941E3"/>
    <w:rsid w:val="007E1413"/>
    <w:rsid w:val="007F045E"/>
    <w:rsid w:val="008051DF"/>
    <w:rsid w:val="0080673C"/>
    <w:rsid w:val="00814FE2"/>
    <w:rsid w:val="008276FE"/>
    <w:rsid w:val="00833116"/>
    <w:rsid w:val="00833B2D"/>
    <w:rsid w:val="008900B8"/>
    <w:rsid w:val="008B4BDC"/>
    <w:rsid w:val="0095114A"/>
    <w:rsid w:val="00953618"/>
    <w:rsid w:val="009C5E22"/>
    <w:rsid w:val="009D38AA"/>
    <w:rsid w:val="009F31F8"/>
    <w:rsid w:val="00A06CE8"/>
    <w:rsid w:val="00A3592D"/>
    <w:rsid w:val="00A4603D"/>
    <w:rsid w:val="00A65570"/>
    <w:rsid w:val="00A8792C"/>
    <w:rsid w:val="00A9501A"/>
    <w:rsid w:val="00A97F9E"/>
    <w:rsid w:val="00AA6BD9"/>
    <w:rsid w:val="00AD48F4"/>
    <w:rsid w:val="00B223BB"/>
    <w:rsid w:val="00B2271E"/>
    <w:rsid w:val="00B33D1D"/>
    <w:rsid w:val="00B41C78"/>
    <w:rsid w:val="00B9130F"/>
    <w:rsid w:val="00BA6FBB"/>
    <w:rsid w:val="00BB346D"/>
    <w:rsid w:val="00BE3088"/>
    <w:rsid w:val="00BF7A8D"/>
    <w:rsid w:val="00C07DDA"/>
    <w:rsid w:val="00C22F14"/>
    <w:rsid w:val="00C45E34"/>
    <w:rsid w:val="00C50E15"/>
    <w:rsid w:val="00C5599A"/>
    <w:rsid w:val="00C85B73"/>
    <w:rsid w:val="00CA119B"/>
    <w:rsid w:val="00CD70E1"/>
    <w:rsid w:val="00CE5521"/>
    <w:rsid w:val="00D55D96"/>
    <w:rsid w:val="00D7296D"/>
    <w:rsid w:val="00DA32F7"/>
    <w:rsid w:val="00DA6DBA"/>
    <w:rsid w:val="00E00061"/>
    <w:rsid w:val="00E0663E"/>
    <w:rsid w:val="00E50AA6"/>
    <w:rsid w:val="00E92677"/>
    <w:rsid w:val="00EA0A28"/>
    <w:rsid w:val="00EB28F1"/>
    <w:rsid w:val="00EC56C7"/>
    <w:rsid w:val="00EC65CB"/>
    <w:rsid w:val="00ED037E"/>
    <w:rsid w:val="00F12922"/>
    <w:rsid w:val="00F757BC"/>
    <w:rsid w:val="00FB745F"/>
    <w:rsid w:val="00FC1462"/>
    <w:rsid w:val="00FC3BAD"/>
    <w:rsid w:val="00FC42C5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E58421"/>
  <w15:chartTrackingRefBased/>
  <w15:docId w15:val="{3EE657AF-DFE4-49E7-B298-AD826D6F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F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45F"/>
  </w:style>
  <w:style w:type="paragraph" w:styleId="Pidipagina">
    <w:name w:val="footer"/>
    <w:basedOn w:val="Normale"/>
    <w:link w:val="PidipaginaCarattere"/>
    <w:uiPriority w:val="99"/>
    <w:unhideWhenUsed/>
    <w:rsid w:val="00FB7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45F"/>
  </w:style>
  <w:style w:type="character" w:styleId="Collegamentoipertestuale">
    <w:name w:val="Hyperlink"/>
    <w:basedOn w:val="Carpredefinitoparagrafo"/>
    <w:uiPriority w:val="99"/>
    <w:semiHidden/>
    <w:unhideWhenUsed/>
    <w:rsid w:val="00FB745F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FB745F"/>
  </w:style>
  <w:style w:type="character" w:styleId="Enfasicorsivo">
    <w:name w:val="Emphasis"/>
    <w:basedOn w:val="Carpredefinitoparagrafo"/>
    <w:uiPriority w:val="20"/>
    <w:qFormat/>
    <w:rsid w:val="00A9501A"/>
    <w:rPr>
      <w:i/>
      <w:iCs/>
    </w:rPr>
  </w:style>
  <w:style w:type="character" w:styleId="Enfasigrassetto">
    <w:name w:val="Strong"/>
    <w:basedOn w:val="Carpredefinitoparagrafo"/>
    <w:uiPriority w:val="22"/>
    <w:qFormat/>
    <w:rsid w:val="00A9501A"/>
    <w:rPr>
      <w:b/>
      <w:bCs/>
    </w:rPr>
  </w:style>
  <w:style w:type="paragraph" w:styleId="Paragrafoelenco">
    <w:name w:val="List Paragraph"/>
    <w:basedOn w:val="Normale"/>
    <w:uiPriority w:val="34"/>
    <w:qFormat/>
    <w:rsid w:val="00F757B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F62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5F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kernel.go('show_list',%7bmask:'main',keys:'05AC00003185+05AC00003128',stack_pos:0,tipo:'leggi',%20callerTicket:%20'',%20userKey:%20'',_menu:'giuri',kind:''%7d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PAOLO CAPPONI</dc:creator>
  <cp:keywords/>
  <dc:description/>
  <cp:lastModifiedBy>PIER PAOLO CAPPONI</cp:lastModifiedBy>
  <cp:revision>7</cp:revision>
  <dcterms:created xsi:type="dcterms:W3CDTF">2017-10-23T09:55:00Z</dcterms:created>
  <dcterms:modified xsi:type="dcterms:W3CDTF">2017-10-24T06:35:00Z</dcterms:modified>
</cp:coreProperties>
</file>