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F3" w:rsidRDefault="000A7381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 w:rsidRPr="000A7381">
        <w:rPr>
          <w:rFonts w:ascii="Times New Roman" w:hAnsi="Times New Roman" w:cs="Times New Roman"/>
          <w:sz w:val="28"/>
          <w:szCs w:val="28"/>
        </w:rPr>
        <w:t>COMMENTO ALLA SENTENZA N. 19018 DEL 27-9-2016 DELLA CORTE DI</w:t>
      </w:r>
      <w:r w:rsidR="00F84129">
        <w:rPr>
          <w:rFonts w:ascii="Times New Roman" w:hAnsi="Times New Roman" w:cs="Times New Roman"/>
          <w:sz w:val="28"/>
          <w:szCs w:val="28"/>
        </w:rPr>
        <w:t xml:space="preserve"> CASSAZIONE IN MATERIA DI AZIONI POSSESSORIE</w:t>
      </w:r>
      <w:r w:rsidR="001B0353">
        <w:rPr>
          <w:rFonts w:ascii="Times New Roman" w:hAnsi="Times New Roman" w:cs="Times New Roman"/>
          <w:sz w:val="28"/>
          <w:szCs w:val="28"/>
        </w:rPr>
        <w:t xml:space="preserve"> E DI VIOLAZIONE DEL DIRITTO DI VEDUTA</w:t>
      </w:r>
    </w:p>
    <w:p w:rsidR="000A7381" w:rsidRDefault="000A7381" w:rsidP="00D0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381" w:rsidRDefault="000A7381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sentenza i</w:t>
      </w:r>
      <w:r w:rsidR="00566EEA">
        <w:rPr>
          <w:rFonts w:ascii="Times New Roman" w:hAnsi="Times New Roman" w:cs="Times New Roman"/>
          <w:sz w:val="28"/>
          <w:szCs w:val="28"/>
        </w:rPr>
        <w:t>n</w:t>
      </w:r>
      <w:r w:rsidR="00DA7AAF">
        <w:rPr>
          <w:rFonts w:ascii="Times New Roman" w:hAnsi="Times New Roman" w:cs="Times New Roman"/>
          <w:sz w:val="28"/>
          <w:szCs w:val="28"/>
        </w:rPr>
        <w:t xml:space="preserve"> epigrafe affronta e risolve un’</w:t>
      </w:r>
      <w:r>
        <w:rPr>
          <w:rFonts w:ascii="Times New Roman" w:hAnsi="Times New Roman" w:cs="Times New Roman"/>
          <w:sz w:val="28"/>
          <w:szCs w:val="28"/>
        </w:rPr>
        <w:t>i</w:t>
      </w:r>
      <w:r w:rsidR="00566EEA">
        <w:rPr>
          <w:rFonts w:ascii="Times New Roman" w:hAnsi="Times New Roman" w:cs="Times New Roman"/>
          <w:sz w:val="28"/>
          <w:szCs w:val="28"/>
        </w:rPr>
        <w:t>nteressante problematica in materia di azione possessoria</w:t>
      </w:r>
      <w:r w:rsidR="001B0353">
        <w:rPr>
          <w:rFonts w:ascii="Times New Roman" w:hAnsi="Times New Roman" w:cs="Times New Roman"/>
          <w:sz w:val="28"/>
          <w:szCs w:val="28"/>
        </w:rPr>
        <w:t xml:space="preserve"> e, sotto il profilo sostanziale, un caso singolare in materia di violazione del diritto di veduta.</w:t>
      </w:r>
    </w:p>
    <w:p w:rsidR="00EC1194" w:rsidRDefault="00571DD6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Sotto il primo profilo, l</w:t>
      </w:r>
      <w:r w:rsidR="00566EEA">
        <w:rPr>
          <w:rFonts w:ascii="Times New Roman" w:hAnsi="Times New Roman" w:cs="Times New Roman"/>
          <w:sz w:val="28"/>
          <w:szCs w:val="28"/>
        </w:rPr>
        <w:t xml:space="preserve">a decisione </w:t>
      </w:r>
      <w:r w:rsidR="00DA7AAF">
        <w:rPr>
          <w:rFonts w:ascii="Times New Roman" w:hAnsi="Times New Roman" w:cs="Times New Roman"/>
          <w:sz w:val="28"/>
          <w:szCs w:val="28"/>
        </w:rPr>
        <w:t>tratta del</w:t>
      </w:r>
      <w:r w:rsidR="000A7381">
        <w:rPr>
          <w:rFonts w:ascii="Times New Roman" w:hAnsi="Times New Roman" w:cs="Times New Roman"/>
          <w:sz w:val="28"/>
          <w:szCs w:val="28"/>
        </w:rPr>
        <w:t>la questione della tempestività dell’azione ex art. 1168 c.c. (azione di reintegra) che</w:t>
      </w:r>
      <w:r w:rsidR="00F84129">
        <w:rPr>
          <w:rFonts w:ascii="Times New Roman" w:hAnsi="Times New Roman" w:cs="Times New Roman"/>
          <w:sz w:val="28"/>
          <w:szCs w:val="28"/>
        </w:rPr>
        <w:t>, come è noto,</w:t>
      </w:r>
      <w:r w:rsidR="00EC1194">
        <w:rPr>
          <w:rFonts w:ascii="Times New Roman" w:hAnsi="Times New Roman" w:cs="Times New Roman"/>
          <w:sz w:val="28"/>
          <w:szCs w:val="28"/>
        </w:rPr>
        <w:t xml:space="preserve"> deve essere introdotta entro un anno dallo spoglio.</w:t>
      </w:r>
    </w:p>
    <w:p w:rsidR="000A7381" w:rsidRDefault="00EC1194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L’art. 1168, c.c., per q</w:t>
      </w:r>
      <w:r w:rsidR="000A7381">
        <w:rPr>
          <w:rFonts w:ascii="Times New Roman" w:hAnsi="Times New Roman" w:cs="Times New Roman"/>
          <w:sz w:val="28"/>
          <w:szCs w:val="28"/>
        </w:rPr>
        <w:t xml:space="preserve">uanto qui interessa, </w:t>
      </w:r>
      <w:r>
        <w:rPr>
          <w:rFonts w:ascii="Times New Roman" w:hAnsi="Times New Roman" w:cs="Times New Roman"/>
          <w:sz w:val="28"/>
          <w:szCs w:val="28"/>
        </w:rPr>
        <w:t xml:space="preserve">prevede </w:t>
      </w:r>
      <w:r w:rsidR="00F84129">
        <w:rPr>
          <w:rFonts w:ascii="Times New Roman" w:hAnsi="Times New Roman" w:cs="Times New Roman"/>
          <w:sz w:val="28"/>
          <w:szCs w:val="28"/>
        </w:rPr>
        <w:t xml:space="preserve">infatti </w:t>
      </w:r>
      <w:r w:rsidR="000A7381">
        <w:rPr>
          <w:rFonts w:ascii="Times New Roman" w:hAnsi="Times New Roman" w:cs="Times New Roman"/>
          <w:sz w:val="28"/>
          <w:szCs w:val="28"/>
        </w:rPr>
        <w:t>che “</w:t>
      </w:r>
      <w:r w:rsidR="000A7381" w:rsidRPr="000A7381">
        <w:rPr>
          <w:rFonts w:ascii="Times New Roman" w:hAnsi="Times New Roman" w:cs="Times New Roman"/>
          <w:i/>
          <w:sz w:val="28"/>
          <w:szCs w:val="28"/>
        </w:rPr>
        <w:t xml:space="preserve">Chi è stato violentemente od occultamente spogliato del possesso può, </w:t>
      </w:r>
      <w:r w:rsidR="000A7381" w:rsidRPr="000A7381">
        <w:rPr>
          <w:rFonts w:ascii="Times New Roman" w:hAnsi="Times New Roman" w:cs="Times New Roman"/>
          <w:i/>
          <w:sz w:val="28"/>
          <w:szCs w:val="28"/>
          <w:u w:val="single"/>
        </w:rPr>
        <w:t>entro l’anno dal sofferto spoglio</w:t>
      </w:r>
      <w:r w:rsidR="000A7381" w:rsidRPr="000A7381">
        <w:rPr>
          <w:rFonts w:ascii="Times New Roman" w:hAnsi="Times New Roman" w:cs="Times New Roman"/>
          <w:i/>
          <w:sz w:val="28"/>
          <w:szCs w:val="28"/>
        </w:rPr>
        <w:t>, chiedere contro l’autore di esso la reintegrazione del possesso medesimo</w:t>
      </w:r>
      <w:r w:rsidR="000A7381">
        <w:rPr>
          <w:rFonts w:ascii="Times New Roman" w:hAnsi="Times New Roman" w:cs="Times New Roman"/>
          <w:sz w:val="28"/>
          <w:szCs w:val="28"/>
        </w:rPr>
        <w:t>”.</w:t>
      </w:r>
    </w:p>
    <w:p w:rsidR="000A7381" w:rsidRDefault="000A7381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Nella fattispecie </w:t>
      </w:r>
      <w:r w:rsidR="006E3E13">
        <w:rPr>
          <w:rFonts w:ascii="Times New Roman" w:hAnsi="Times New Roman" w:cs="Times New Roman"/>
          <w:sz w:val="28"/>
          <w:szCs w:val="28"/>
        </w:rPr>
        <w:t xml:space="preserve">decisa dalla Corte </w:t>
      </w:r>
      <w:r>
        <w:rPr>
          <w:rFonts w:ascii="Times New Roman" w:hAnsi="Times New Roman" w:cs="Times New Roman"/>
          <w:sz w:val="28"/>
          <w:szCs w:val="28"/>
        </w:rPr>
        <w:t>si discuteva proprio del fatto se il ricorrente avesse</w:t>
      </w:r>
      <w:r w:rsidR="00F84129">
        <w:rPr>
          <w:rFonts w:ascii="Times New Roman" w:hAnsi="Times New Roman" w:cs="Times New Roman"/>
          <w:sz w:val="28"/>
          <w:szCs w:val="28"/>
        </w:rPr>
        <w:t xml:space="preserve"> o meno</w:t>
      </w:r>
      <w:r>
        <w:rPr>
          <w:rFonts w:ascii="Times New Roman" w:hAnsi="Times New Roman" w:cs="Times New Roman"/>
          <w:sz w:val="28"/>
          <w:szCs w:val="28"/>
        </w:rPr>
        <w:t xml:space="preserve"> introdotto l’azione entro quello spazio temporale.</w:t>
      </w:r>
    </w:p>
    <w:p w:rsidR="000A7381" w:rsidRDefault="000A7381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ricorrente riteneva di sì, </w:t>
      </w:r>
      <w:r w:rsidR="00EC1194">
        <w:rPr>
          <w:rFonts w:ascii="Times New Roman" w:hAnsi="Times New Roman" w:cs="Times New Roman"/>
          <w:sz w:val="28"/>
          <w:szCs w:val="28"/>
        </w:rPr>
        <w:t xml:space="preserve">mentre il convenuto </w:t>
      </w:r>
      <w:r w:rsidR="00214B52">
        <w:rPr>
          <w:rFonts w:ascii="Times New Roman" w:hAnsi="Times New Roman" w:cs="Times New Roman"/>
          <w:sz w:val="28"/>
          <w:szCs w:val="28"/>
        </w:rPr>
        <w:t xml:space="preserve">sosteneva </w:t>
      </w:r>
      <w:r w:rsidR="000A7957">
        <w:rPr>
          <w:rFonts w:ascii="Times New Roman" w:hAnsi="Times New Roman" w:cs="Times New Roman"/>
          <w:sz w:val="28"/>
          <w:szCs w:val="28"/>
        </w:rPr>
        <w:t>esattamente il contrario.</w:t>
      </w:r>
    </w:p>
    <w:p w:rsidR="00EC1194" w:rsidRDefault="00EC1194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verteva in</w:t>
      </w:r>
      <w:r w:rsidR="00F84129">
        <w:rPr>
          <w:rFonts w:ascii="Times New Roman" w:hAnsi="Times New Roman" w:cs="Times New Roman"/>
          <w:sz w:val="28"/>
          <w:szCs w:val="28"/>
        </w:rPr>
        <w:t xml:space="preserve"> ipotesi di spoglio c</w:t>
      </w:r>
      <w:r w:rsidR="00571DD6">
        <w:rPr>
          <w:rFonts w:ascii="Times New Roman" w:hAnsi="Times New Roman" w:cs="Times New Roman"/>
          <w:sz w:val="28"/>
          <w:szCs w:val="28"/>
        </w:rPr>
        <w:t xml:space="preserve">landestino, nella cui ipotesi il periodo di un </w:t>
      </w:r>
      <w:r w:rsidR="00F84129">
        <w:rPr>
          <w:rFonts w:ascii="Times New Roman" w:hAnsi="Times New Roman" w:cs="Times New Roman"/>
          <w:sz w:val="28"/>
          <w:szCs w:val="28"/>
        </w:rPr>
        <w:t xml:space="preserve">anno </w:t>
      </w:r>
      <w:r w:rsidR="00571DD6">
        <w:rPr>
          <w:rFonts w:ascii="Times New Roman" w:hAnsi="Times New Roman" w:cs="Times New Roman"/>
          <w:sz w:val="28"/>
          <w:szCs w:val="28"/>
        </w:rPr>
        <w:t xml:space="preserve">da considerare, </w:t>
      </w:r>
      <w:r w:rsidR="00F84129">
        <w:rPr>
          <w:rFonts w:ascii="Times New Roman" w:hAnsi="Times New Roman" w:cs="Times New Roman"/>
          <w:sz w:val="28"/>
          <w:szCs w:val="28"/>
        </w:rPr>
        <w:t>comincia a decorrere dalla scoperta dello spoglio.</w:t>
      </w:r>
    </w:p>
    <w:p w:rsidR="00DA7AAF" w:rsidRDefault="000A7381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Suprema Cor</w:t>
      </w:r>
      <w:r w:rsidR="00DA7AAF">
        <w:rPr>
          <w:rFonts w:ascii="Times New Roman" w:hAnsi="Times New Roman" w:cs="Times New Roman"/>
          <w:sz w:val="28"/>
          <w:szCs w:val="28"/>
        </w:rPr>
        <w:t>te, sviluppando un percorso argomentativo piuttosto articolato</w:t>
      </w:r>
      <w:r w:rsidR="00571DD6">
        <w:rPr>
          <w:rFonts w:ascii="Times New Roman" w:hAnsi="Times New Roman" w:cs="Times New Roman"/>
          <w:sz w:val="28"/>
          <w:szCs w:val="28"/>
        </w:rPr>
        <w:t xml:space="preserve"> ed anche ardito</w:t>
      </w:r>
      <w:r w:rsidR="00F84129">
        <w:rPr>
          <w:rFonts w:ascii="Times New Roman" w:hAnsi="Times New Roman" w:cs="Times New Roman"/>
          <w:sz w:val="28"/>
          <w:szCs w:val="28"/>
        </w:rPr>
        <w:t>,</w:t>
      </w:r>
      <w:r w:rsidR="00F84129" w:rsidRPr="00F84129">
        <w:rPr>
          <w:rFonts w:ascii="Times New Roman" w:hAnsi="Times New Roman" w:cs="Times New Roman"/>
          <w:sz w:val="28"/>
          <w:szCs w:val="28"/>
        </w:rPr>
        <w:t xml:space="preserve"> </w:t>
      </w:r>
      <w:r w:rsidR="00F84129">
        <w:rPr>
          <w:rFonts w:ascii="Times New Roman" w:hAnsi="Times New Roman" w:cs="Times New Roman"/>
          <w:sz w:val="28"/>
          <w:szCs w:val="28"/>
        </w:rPr>
        <w:t>tenendo conto del fatto concreto, ha alla fine dato ragione al convenuto</w:t>
      </w:r>
      <w:r w:rsidR="00DA7AAF">
        <w:rPr>
          <w:rFonts w:ascii="Times New Roman" w:hAnsi="Times New Roman" w:cs="Times New Roman"/>
          <w:sz w:val="28"/>
          <w:szCs w:val="28"/>
        </w:rPr>
        <w:t>.</w:t>
      </w:r>
    </w:p>
    <w:p w:rsidR="000A7381" w:rsidRDefault="00DA7AAF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Secondo i giudici di legittimità,</w:t>
      </w:r>
      <w:r w:rsidR="000A7957">
        <w:rPr>
          <w:rFonts w:ascii="Times New Roman" w:hAnsi="Times New Roman" w:cs="Times New Roman"/>
          <w:sz w:val="28"/>
          <w:szCs w:val="28"/>
        </w:rPr>
        <w:t xml:space="preserve"> “</w:t>
      </w:r>
      <w:r w:rsidR="000A7957" w:rsidRPr="00214B52">
        <w:rPr>
          <w:rFonts w:ascii="Times New Roman" w:hAnsi="Times New Roman" w:cs="Times New Roman"/>
          <w:i/>
          <w:sz w:val="28"/>
          <w:szCs w:val="28"/>
        </w:rPr>
        <w:t>la ricorrente già con lettera del 28/5/2000 aveva dedotto come lesive del possesso le modifiche della finestra riscontrate.</w:t>
      </w:r>
      <w:r w:rsidR="000A7957">
        <w:rPr>
          <w:rFonts w:ascii="Times New Roman" w:hAnsi="Times New Roman" w:cs="Times New Roman"/>
          <w:sz w:val="28"/>
          <w:szCs w:val="28"/>
        </w:rPr>
        <w:t>”.</w:t>
      </w:r>
    </w:p>
    <w:p w:rsidR="000A7957" w:rsidRDefault="000A7957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Nella fattispecie </w:t>
      </w:r>
      <w:r w:rsidR="00D0647A">
        <w:rPr>
          <w:rFonts w:ascii="Times New Roman" w:hAnsi="Times New Roman" w:cs="Times New Roman"/>
          <w:sz w:val="28"/>
          <w:szCs w:val="28"/>
        </w:rPr>
        <w:t>però</w:t>
      </w:r>
      <w:r w:rsidR="00571DD6">
        <w:rPr>
          <w:rFonts w:ascii="Times New Roman" w:hAnsi="Times New Roman" w:cs="Times New Roman"/>
          <w:sz w:val="28"/>
          <w:szCs w:val="28"/>
        </w:rPr>
        <w:t>, rileva lo scrivente autore,</w:t>
      </w:r>
      <w:r w:rsidR="00D0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il ricorso era sta</w:t>
      </w:r>
      <w:r w:rsidR="00A72F91">
        <w:rPr>
          <w:rFonts w:ascii="Times New Roman" w:hAnsi="Times New Roman" w:cs="Times New Roman"/>
          <w:sz w:val="28"/>
          <w:szCs w:val="28"/>
        </w:rPr>
        <w:t xml:space="preserve">to depositato il 23/1/2001 </w:t>
      </w:r>
      <w:r>
        <w:rPr>
          <w:rFonts w:ascii="Times New Roman" w:hAnsi="Times New Roman" w:cs="Times New Roman"/>
          <w:sz w:val="28"/>
          <w:szCs w:val="28"/>
        </w:rPr>
        <w:t>e quindi, al</w:t>
      </w:r>
      <w:r w:rsidR="00EC1194">
        <w:rPr>
          <w:rFonts w:ascii="Times New Roman" w:hAnsi="Times New Roman" w:cs="Times New Roman"/>
          <w:sz w:val="28"/>
          <w:szCs w:val="28"/>
        </w:rPr>
        <w:t xml:space="preserve">meno così </w:t>
      </w:r>
      <w:r w:rsidR="00DA7AAF">
        <w:rPr>
          <w:rFonts w:ascii="Times New Roman" w:hAnsi="Times New Roman" w:cs="Times New Roman"/>
          <w:sz w:val="28"/>
          <w:szCs w:val="28"/>
        </w:rPr>
        <w:t>potrebbe sembrare,</w:t>
      </w:r>
      <w:r w:rsidR="00EC1194">
        <w:rPr>
          <w:rFonts w:ascii="Times New Roman" w:hAnsi="Times New Roman" w:cs="Times New Roman"/>
          <w:sz w:val="28"/>
          <w:szCs w:val="28"/>
        </w:rPr>
        <w:t xml:space="preserve"> in tempo pienamente utile</w:t>
      </w:r>
      <w:r w:rsidR="00571DD6">
        <w:rPr>
          <w:rFonts w:ascii="Times New Roman" w:hAnsi="Times New Roman" w:cs="Times New Roman"/>
          <w:sz w:val="28"/>
          <w:szCs w:val="28"/>
        </w:rPr>
        <w:t xml:space="preserve"> per poterlo legittimamente proporre.</w:t>
      </w:r>
    </w:p>
    <w:p w:rsidR="00D0647A" w:rsidRDefault="00A72F91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Sennonché la Corte di Cassazione, facendo proprie le argomentazioni della </w:t>
      </w:r>
      <w:r w:rsidR="00571DD6">
        <w:rPr>
          <w:rFonts w:ascii="Times New Roman" w:hAnsi="Times New Roman" w:cs="Times New Roman"/>
          <w:sz w:val="28"/>
          <w:szCs w:val="28"/>
        </w:rPr>
        <w:t>sentenza impugnata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647A">
        <w:rPr>
          <w:rFonts w:ascii="Times New Roman" w:hAnsi="Times New Roman" w:cs="Times New Roman"/>
          <w:sz w:val="28"/>
          <w:szCs w:val="28"/>
        </w:rPr>
        <w:t>è entrato nello specifico.</w:t>
      </w:r>
    </w:p>
    <w:p w:rsidR="00A72F91" w:rsidRDefault="00D0647A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particolare </w:t>
      </w:r>
      <w:r w:rsidR="00DA7AAF">
        <w:rPr>
          <w:rFonts w:ascii="Times New Roman" w:hAnsi="Times New Roman" w:cs="Times New Roman"/>
          <w:sz w:val="28"/>
          <w:szCs w:val="28"/>
        </w:rPr>
        <w:t xml:space="preserve">i giudici </w:t>
      </w:r>
      <w:r w:rsidR="006E3E13">
        <w:rPr>
          <w:rFonts w:ascii="Times New Roman" w:hAnsi="Times New Roman" w:cs="Times New Roman"/>
          <w:sz w:val="28"/>
          <w:szCs w:val="28"/>
        </w:rPr>
        <w:t xml:space="preserve">della Suprema Corte </w:t>
      </w:r>
      <w:r w:rsidR="00A72F91">
        <w:rPr>
          <w:rFonts w:ascii="Times New Roman" w:hAnsi="Times New Roman" w:cs="Times New Roman"/>
          <w:sz w:val="28"/>
          <w:szCs w:val="28"/>
        </w:rPr>
        <w:t>ha</w:t>
      </w:r>
      <w:r w:rsidR="00DA7AAF">
        <w:rPr>
          <w:rFonts w:ascii="Times New Roman" w:hAnsi="Times New Roman" w:cs="Times New Roman"/>
          <w:sz w:val="28"/>
          <w:szCs w:val="28"/>
        </w:rPr>
        <w:t>nno</w:t>
      </w:r>
      <w:r w:rsidR="00A72F91">
        <w:rPr>
          <w:rFonts w:ascii="Times New Roman" w:hAnsi="Times New Roman" w:cs="Times New Roman"/>
          <w:sz w:val="28"/>
          <w:szCs w:val="28"/>
        </w:rPr>
        <w:t xml:space="preserve"> </w:t>
      </w:r>
      <w:r w:rsidR="00E82826">
        <w:rPr>
          <w:rFonts w:ascii="Times New Roman" w:hAnsi="Times New Roman" w:cs="Times New Roman"/>
          <w:sz w:val="28"/>
          <w:szCs w:val="28"/>
        </w:rPr>
        <w:t xml:space="preserve">dato rilievo al fatto che </w:t>
      </w:r>
      <w:r w:rsidR="00F84129">
        <w:rPr>
          <w:rFonts w:ascii="Times New Roman" w:hAnsi="Times New Roman" w:cs="Times New Roman"/>
          <w:sz w:val="28"/>
          <w:szCs w:val="28"/>
        </w:rPr>
        <w:t>la stessa lettera del 28/5/200</w:t>
      </w:r>
      <w:r w:rsidR="00E82826">
        <w:rPr>
          <w:rFonts w:ascii="Times New Roman" w:hAnsi="Times New Roman" w:cs="Times New Roman"/>
          <w:sz w:val="28"/>
          <w:szCs w:val="28"/>
        </w:rPr>
        <w:t>0</w:t>
      </w:r>
      <w:r w:rsidR="00F84129">
        <w:rPr>
          <w:rFonts w:ascii="Times New Roman" w:hAnsi="Times New Roman" w:cs="Times New Roman"/>
          <w:sz w:val="28"/>
          <w:szCs w:val="28"/>
        </w:rPr>
        <w:t>, proveniente dal ricorrente</w:t>
      </w:r>
      <w:r w:rsidR="00E82826">
        <w:rPr>
          <w:rFonts w:ascii="Times New Roman" w:hAnsi="Times New Roman" w:cs="Times New Roman"/>
          <w:sz w:val="28"/>
          <w:szCs w:val="28"/>
        </w:rPr>
        <w:t>, conteneva</w:t>
      </w:r>
      <w:r w:rsidR="00F84129">
        <w:rPr>
          <w:rFonts w:ascii="Times New Roman" w:hAnsi="Times New Roman" w:cs="Times New Roman"/>
          <w:sz w:val="28"/>
          <w:szCs w:val="28"/>
        </w:rPr>
        <w:t xml:space="preserve"> anche un generico riferimento </w:t>
      </w:r>
      <w:r w:rsidR="00A72F91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A72F91">
        <w:rPr>
          <w:rFonts w:ascii="Times New Roman" w:hAnsi="Times New Roman" w:cs="Times New Roman"/>
          <w:sz w:val="28"/>
          <w:szCs w:val="28"/>
        </w:rPr>
        <w:t>precedenti diffide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F84129">
        <w:rPr>
          <w:rFonts w:ascii="Times New Roman" w:hAnsi="Times New Roman" w:cs="Times New Roman"/>
          <w:sz w:val="28"/>
          <w:szCs w:val="28"/>
        </w:rPr>
        <w:t>, le quali, a detta dei giudici,</w:t>
      </w:r>
      <w:r w:rsidR="00A72F91">
        <w:rPr>
          <w:rFonts w:ascii="Times New Roman" w:hAnsi="Times New Roman" w:cs="Times New Roman"/>
          <w:sz w:val="28"/>
          <w:szCs w:val="28"/>
        </w:rPr>
        <w:t xml:space="preserve"> </w:t>
      </w:r>
      <w:r w:rsidR="00E82826">
        <w:rPr>
          <w:rFonts w:ascii="Times New Roman" w:hAnsi="Times New Roman" w:cs="Times New Roman"/>
          <w:sz w:val="28"/>
          <w:szCs w:val="28"/>
        </w:rPr>
        <w:t xml:space="preserve">si poteva </w:t>
      </w:r>
      <w:r w:rsidR="00F84129">
        <w:rPr>
          <w:rFonts w:ascii="Times New Roman" w:hAnsi="Times New Roman" w:cs="Times New Roman"/>
          <w:sz w:val="28"/>
          <w:szCs w:val="28"/>
        </w:rPr>
        <w:t xml:space="preserve">ipotizzare che </w:t>
      </w:r>
      <w:r w:rsidR="00A72F91">
        <w:rPr>
          <w:rFonts w:ascii="Times New Roman" w:hAnsi="Times New Roman" w:cs="Times New Roman"/>
          <w:sz w:val="28"/>
          <w:szCs w:val="28"/>
        </w:rPr>
        <w:t>fossero state inoltrate prima del 23/1/</w:t>
      </w:r>
      <w:r w:rsidR="006E3E13">
        <w:rPr>
          <w:rFonts w:ascii="Times New Roman" w:hAnsi="Times New Roman" w:cs="Times New Roman"/>
          <w:sz w:val="28"/>
          <w:szCs w:val="28"/>
        </w:rPr>
        <w:t>2000, e quindi prima</w:t>
      </w:r>
      <w:r w:rsidR="00571DD6">
        <w:rPr>
          <w:rFonts w:ascii="Times New Roman" w:hAnsi="Times New Roman" w:cs="Times New Roman"/>
          <w:sz w:val="28"/>
          <w:szCs w:val="28"/>
        </w:rPr>
        <w:t xml:space="preserve"> dell’anno previsto dalla legge per poter proporre il ricorso per reintegra.</w:t>
      </w:r>
    </w:p>
    <w:p w:rsidR="00F84129" w:rsidRDefault="00F84129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altri termini, </w:t>
      </w:r>
      <w:r w:rsidR="00E82826">
        <w:rPr>
          <w:rFonts w:ascii="Times New Roman" w:hAnsi="Times New Roman" w:cs="Times New Roman"/>
          <w:sz w:val="28"/>
          <w:szCs w:val="28"/>
        </w:rPr>
        <w:t xml:space="preserve">secondo la Corte </w:t>
      </w:r>
      <w:r>
        <w:rPr>
          <w:rFonts w:ascii="Times New Roman" w:hAnsi="Times New Roman" w:cs="Times New Roman"/>
          <w:sz w:val="28"/>
          <w:szCs w:val="28"/>
        </w:rPr>
        <w:t>vi erano degli</w:t>
      </w:r>
      <w:r w:rsidR="00E82826">
        <w:rPr>
          <w:rFonts w:ascii="Times New Roman" w:hAnsi="Times New Roman" w:cs="Times New Roman"/>
          <w:sz w:val="28"/>
          <w:szCs w:val="28"/>
        </w:rPr>
        <w:t xml:space="preserve"> elementi testuali </w:t>
      </w:r>
      <w:r w:rsidR="00571DD6">
        <w:rPr>
          <w:rFonts w:ascii="Times New Roman" w:hAnsi="Times New Roman" w:cs="Times New Roman"/>
          <w:sz w:val="28"/>
          <w:szCs w:val="28"/>
        </w:rPr>
        <w:t xml:space="preserve">contenuti nella produzione dell’attore, </w:t>
      </w:r>
      <w:r>
        <w:rPr>
          <w:rFonts w:ascii="Times New Roman" w:hAnsi="Times New Roman" w:cs="Times New Roman"/>
          <w:sz w:val="28"/>
          <w:szCs w:val="28"/>
        </w:rPr>
        <w:t>dai quali potev</w:t>
      </w:r>
      <w:r w:rsidR="00E82826">
        <w:rPr>
          <w:rFonts w:ascii="Times New Roman" w:hAnsi="Times New Roman" w:cs="Times New Roman"/>
          <w:sz w:val="28"/>
          <w:szCs w:val="28"/>
        </w:rPr>
        <w:t>a evincersi</w:t>
      </w:r>
      <w:r>
        <w:rPr>
          <w:rFonts w:ascii="Times New Roman" w:hAnsi="Times New Roman" w:cs="Times New Roman"/>
          <w:sz w:val="28"/>
          <w:szCs w:val="28"/>
        </w:rPr>
        <w:t>, in via pr</w:t>
      </w:r>
      <w:r w:rsidR="00E8282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suntiva, che la scoperta dello spoglio sarebbe avvenuta </w:t>
      </w:r>
      <w:r w:rsidR="00E82826">
        <w:rPr>
          <w:rFonts w:ascii="Times New Roman" w:hAnsi="Times New Roman" w:cs="Times New Roman"/>
          <w:sz w:val="28"/>
          <w:szCs w:val="28"/>
        </w:rPr>
        <w:t>oltre un anno prima della</w:t>
      </w:r>
      <w:r>
        <w:rPr>
          <w:rFonts w:ascii="Times New Roman" w:hAnsi="Times New Roman" w:cs="Times New Roman"/>
          <w:sz w:val="28"/>
          <w:szCs w:val="28"/>
        </w:rPr>
        <w:t xml:space="preserve"> dat</w:t>
      </w:r>
      <w:r w:rsidR="00E82826">
        <w:rPr>
          <w:rFonts w:ascii="Times New Roman" w:hAnsi="Times New Roman" w:cs="Times New Roman"/>
          <w:sz w:val="28"/>
          <w:szCs w:val="28"/>
        </w:rPr>
        <w:t>a de</w:t>
      </w:r>
      <w:r>
        <w:rPr>
          <w:rFonts w:ascii="Times New Roman" w:hAnsi="Times New Roman" w:cs="Times New Roman"/>
          <w:sz w:val="28"/>
          <w:szCs w:val="28"/>
        </w:rPr>
        <w:t>l deposito del ricorso</w:t>
      </w:r>
    </w:p>
    <w:p w:rsidR="006E3E13" w:rsidRDefault="006E3E13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questo punto la Corte ha affrontato il problema dell’onere della prova.</w:t>
      </w:r>
    </w:p>
    <w:p w:rsidR="006E3E13" w:rsidRDefault="00571DD6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chi spettava </w:t>
      </w:r>
      <w:r w:rsidR="006E3E13">
        <w:rPr>
          <w:rFonts w:ascii="Times New Roman" w:hAnsi="Times New Roman" w:cs="Times New Roman"/>
          <w:sz w:val="28"/>
          <w:szCs w:val="28"/>
        </w:rPr>
        <w:t>provare il contenuto</w:t>
      </w:r>
      <w:r w:rsidR="00E82826">
        <w:rPr>
          <w:rFonts w:ascii="Times New Roman" w:hAnsi="Times New Roman" w:cs="Times New Roman"/>
          <w:sz w:val="28"/>
          <w:szCs w:val="28"/>
        </w:rPr>
        <w:t>, e soprattutto la data,</w:t>
      </w:r>
      <w:r w:rsidR="006E3E13">
        <w:rPr>
          <w:rFonts w:ascii="Times New Roman" w:hAnsi="Times New Roman" w:cs="Times New Roman"/>
          <w:sz w:val="28"/>
          <w:szCs w:val="28"/>
        </w:rPr>
        <w:t xml:space="preserve"> di quelle “precedenti diffide”?</w:t>
      </w:r>
    </w:p>
    <w:p w:rsidR="00DA7AAF" w:rsidRDefault="006E3E13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L’esistenza delle stesse</w:t>
      </w:r>
      <w:r w:rsidR="00E82826">
        <w:rPr>
          <w:rFonts w:ascii="Times New Roman" w:hAnsi="Times New Roman" w:cs="Times New Roman"/>
          <w:sz w:val="28"/>
          <w:szCs w:val="28"/>
        </w:rPr>
        <w:t>, secondo la Corte,</w:t>
      </w:r>
      <w:r>
        <w:rPr>
          <w:rFonts w:ascii="Times New Roman" w:hAnsi="Times New Roman" w:cs="Times New Roman"/>
          <w:sz w:val="28"/>
          <w:szCs w:val="28"/>
        </w:rPr>
        <w:t xml:space="preserve"> non poteva</w:t>
      </w:r>
      <w:r w:rsidR="00571DD6">
        <w:rPr>
          <w:rFonts w:ascii="Times New Roman" w:hAnsi="Times New Roman" w:cs="Times New Roman"/>
          <w:sz w:val="28"/>
          <w:szCs w:val="28"/>
        </w:rPr>
        <w:t xml:space="preserve"> </w:t>
      </w:r>
      <w:r w:rsidR="00DA7AA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erto essere sottaciuta o dimenticata</w:t>
      </w:r>
      <w:r w:rsidR="00DA7AAF">
        <w:rPr>
          <w:rFonts w:ascii="Times New Roman" w:hAnsi="Times New Roman" w:cs="Times New Roman"/>
          <w:sz w:val="28"/>
          <w:szCs w:val="28"/>
        </w:rPr>
        <w:t>.</w:t>
      </w:r>
    </w:p>
    <w:p w:rsidR="00A72F91" w:rsidRDefault="00A72F91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giudici di legittimità hanno </w:t>
      </w:r>
      <w:r w:rsidR="00214B52">
        <w:rPr>
          <w:rFonts w:ascii="Times New Roman" w:hAnsi="Times New Roman" w:cs="Times New Roman"/>
          <w:sz w:val="28"/>
          <w:szCs w:val="28"/>
        </w:rPr>
        <w:t>ritenuto che in ordine alle citate</w:t>
      </w:r>
      <w:r>
        <w:rPr>
          <w:rFonts w:ascii="Times New Roman" w:hAnsi="Times New Roman" w:cs="Times New Roman"/>
          <w:sz w:val="28"/>
          <w:szCs w:val="28"/>
        </w:rPr>
        <w:t xml:space="preserve"> “precedenti diffide”</w:t>
      </w:r>
      <w:r w:rsidR="00214B52">
        <w:rPr>
          <w:rFonts w:ascii="Times New Roman" w:hAnsi="Times New Roman" w:cs="Times New Roman"/>
          <w:sz w:val="28"/>
          <w:szCs w:val="28"/>
        </w:rPr>
        <w:t xml:space="preserve"> </w:t>
      </w:r>
      <w:r w:rsidR="00D0647A">
        <w:rPr>
          <w:rFonts w:ascii="Times New Roman" w:hAnsi="Times New Roman" w:cs="Times New Roman"/>
          <w:sz w:val="28"/>
          <w:szCs w:val="28"/>
        </w:rPr>
        <w:t xml:space="preserve">era </w:t>
      </w:r>
      <w:r w:rsidR="00DA7AAF">
        <w:rPr>
          <w:rFonts w:ascii="Times New Roman" w:hAnsi="Times New Roman" w:cs="Times New Roman"/>
          <w:sz w:val="28"/>
          <w:szCs w:val="28"/>
        </w:rPr>
        <w:t xml:space="preserve">proprio </w:t>
      </w:r>
      <w:r w:rsidR="00214B52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 xml:space="preserve"> ricorrente </w:t>
      </w:r>
      <w:r w:rsidR="00214B52">
        <w:rPr>
          <w:rFonts w:ascii="Times New Roman" w:hAnsi="Times New Roman" w:cs="Times New Roman"/>
          <w:sz w:val="28"/>
          <w:szCs w:val="28"/>
        </w:rPr>
        <w:t xml:space="preserve">(e non il convenuto) </w:t>
      </w:r>
      <w:r w:rsidR="00D0647A">
        <w:rPr>
          <w:rFonts w:ascii="Times New Roman" w:hAnsi="Times New Roman" w:cs="Times New Roman"/>
          <w:sz w:val="28"/>
          <w:szCs w:val="28"/>
        </w:rPr>
        <w:t xml:space="preserve">a dover fornire dimostrazione, </w:t>
      </w:r>
      <w:r>
        <w:rPr>
          <w:rFonts w:ascii="Times New Roman" w:hAnsi="Times New Roman" w:cs="Times New Roman"/>
          <w:sz w:val="28"/>
          <w:szCs w:val="28"/>
        </w:rPr>
        <w:t>tratt</w:t>
      </w:r>
      <w:r w:rsidR="00E82826">
        <w:rPr>
          <w:rFonts w:ascii="Times New Roman" w:hAnsi="Times New Roman" w:cs="Times New Roman"/>
          <w:sz w:val="28"/>
          <w:szCs w:val="28"/>
        </w:rPr>
        <w:t>andosi di lettere (le precedenti diffide)</w:t>
      </w:r>
      <w:r w:rsidR="00214B52">
        <w:rPr>
          <w:rFonts w:ascii="Times New Roman" w:hAnsi="Times New Roman" w:cs="Times New Roman"/>
          <w:sz w:val="28"/>
          <w:szCs w:val="28"/>
        </w:rPr>
        <w:t xml:space="preserve"> provenienti dalla stessa</w:t>
      </w:r>
      <w:r w:rsidR="00571DD6">
        <w:rPr>
          <w:rFonts w:ascii="Times New Roman" w:hAnsi="Times New Roman" w:cs="Times New Roman"/>
          <w:sz w:val="28"/>
          <w:szCs w:val="28"/>
        </w:rPr>
        <w:t xml:space="preserve"> parte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F91" w:rsidRDefault="00A72F91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principio di diritto enunciato dalla Corte è il seguente: “</w:t>
      </w:r>
      <w:r w:rsidRPr="00214B52">
        <w:rPr>
          <w:rFonts w:ascii="Times New Roman" w:hAnsi="Times New Roman" w:cs="Times New Roman"/>
          <w:i/>
          <w:sz w:val="28"/>
          <w:szCs w:val="28"/>
        </w:rPr>
        <w:t xml:space="preserve">il termine annuale  ha natura sostanziale e l’azione di reintegrazione (o di manutenzione) deve essere esperita entro l’anno, decorrente dallo spoglio o dalla molestia, spettando </w:t>
      </w:r>
      <w:r w:rsidRPr="00214B52">
        <w:rPr>
          <w:rFonts w:ascii="Times New Roman" w:hAnsi="Times New Roman" w:cs="Times New Roman"/>
          <w:i/>
          <w:sz w:val="28"/>
          <w:szCs w:val="28"/>
          <w:u w:val="single"/>
        </w:rPr>
        <w:t>al ricorrente</w:t>
      </w:r>
      <w:r w:rsidRPr="00214B52">
        <w:rPr>
          <w:rFonts w:ascii="Times New Roman" w:hAnsi="Times New Roman" w:cs="Times New Roman"/>
          <w:i/>
          <w:sz w:val="28"/>
          <w:szCs w:val="28"/>
        </w:rPr>
        <w:t xml:space="preserve"> la prova della tempestività dell’azione, regola dell’onere della prova che deve essere adattata ai particolari aspetti della p</w:t>
      </w:r>
      <w:r w:rsidR="00EC1194" w:rsidRPr="00214B52">
        <w:rPr>
          <w:rFonts w:ascii="Times New Roman" w:hAnsi="Times New Roman" w:cs="Times New Roman"/>
          <w:i/>
          <w:sz w:val="28"/>
          <w:szCs w:val="28"/>
        </w:rPr>
        <w:t xml:space="preserve">resente fattispecie, </w:t>
      </w:r>
      <w:r w:rsidR="00EC1194" w:rsidRPr="00214B52">
        <w:rPr>
          <w:rFonts w:ascii="Times New Roman" w:hAnsi="Times New Roman" w:cs="Times New Roman"/>
          <w:i/>
          <w:sz w:val="28"/>
          <w:szCs w:val="28"/>
          <w:u w:val="single"/>
        </w:rPr>
        <w:t>per quando lo spoglio sia stato clandestino,</w:t>
      </w:r>
      <w:r w:rsidR="00EC1194" w:rsidRPr="00214B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1194" w:rsidRPr="00214B52">
        <w:rPr>
          <w:rFonts w:ascii="Times New Roman" w:hAnsi="Times New Roman" w:cs="Times New Roman"/>
          <w:i/>
          <w:sz w:val="28"/>
          <w:szCs w:val="28"/>
          <w:u w:val="single"/>
        </w:rPr>
        <w:t>l’onere dell’attore in possessoria non si esaurisce nella dimostrazione della clandestinità dell’atto violatore del possesso, ma deve riguardare anche la data della scoperta di esso da parte dello spogliato</w:t>
      </w:r>
      <w:r w:rsidR="00EC1194">
        <w:rPr>
          <w:rFonts w:ascii="Times New Roman" w:hAnsi="Times New Roman" w:cs="Times New Roman"/>
          <w:sz w:val="28"/>
          <w:szCs w:val="28"/>
        </w:rPr>
        <w:t>”.</w:t>
      </w:r>
    </w:p>
    <w:p w:rsidR="00E82826" w:rsidRDefault="00DA7AAF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Nell’</w:t>
      </w:r>
      <w:r w:rsidR="006E3E13">
        <w:rPr>
          <w:rFonts w:ascii="Times New Roman" w:hAnsi="Times New Roman" w:cs="Times New Roman"/>
          <w:sz w:val="28"/>
          <w:szCs w:val="28"/>
        </w:rPr>
        <w:t xml:space="preserve">applicare </w:t>
      </w:r>
      <w:r>
        <w:rPr>
          <w:rFonts w:ascii="Times New Roman" w:hAnsi="Times New Roman" w:cs="Times New Roman"/>
          <w:sz w:val="28"/>
          <w:szCs w:val="28"/>
        </w:rPr>
        <w:t xml:space="preserve">la norma </w:t>
      </w:r>
      <w:r w:rsidR="006E3E13">
        <w:rPr>
          <w:rFonts w:ascii="Times New Roman" w:hAnsi="Times New Roman" w:cs="Times New Roman"/>
          <w:sz w:val="28"/>
          <w:szCs w:val="28"/>
        </w:rPr>
        <w:t>di legge</w:t>
      </w:r>
      <w:r w:rsidR="00E82826">
        <w:rPr>
          <w:rFonts w:ascii="Times New Roman" w:hAnsi="Times New Roman" w:cs="Times New Roman"/>
          <w:sz w:val="28"/>
          <w:szCs w:val="28"/>
        </w:rPr>
        <w:t>,</w:t>
      </w:r>
      <w:r w:rsidR="006E3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 Corte </w:t>
      </w:r>
      <w:r w:rsidR="00E82826">
        <w:rPr>
          <w:rFonts w:ascii="Times New Roman" w:hAnsi="Times New Roman" w:cs="Times New Roman"/>
          <w:sz w:val="28"/>
          <w:szCs w:val="28"/>
        </w:rPr>
        <w:t>l’</w:t>
      </w:r>
      <w:r>
        <w:rPr>
          <w:rFonts w:ascii="Times New Roman" w:hAnsi="Times New Roman" w:cs="Times New Roman"/>
          <w:sz w:val="28"/>
          <w:szCs w:val="28"/>
        </w:rPr>
        <w:t xml:space="preserve">ha </w:t>
      </w:r>
      <w:r w:rsidR="00E82826">
        <w:rPr>
          <w:rFonts w:ascii="Times New Roman" w:hAnsi="Times New Roman" w:cs="Times New Roman"/>
          <w:sz w:val="28"/>
          <w:szCs w:val="28"/>
        </w:rPr>
        <w:t>adattata al caso concreto.</w:t>
      </w:r>
    </w:p>
    <w:p w:rsidR="00571DD6" w:rsidRDefault="00DA7AAF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particolare</w:t>
      </w:r>
      <w:r w:rsidR="006E3E13">
        <w:rPr>
          <w:rFonts w:ascii="Times New Roman" w:hAnsi="Times New Roman" w:cs="Times New Roman"/>
          <w:sz w:val="28"/>
          <w:szCs w:val="28"/>
        </w:rPr>
        <w:t>, come si è visto,</w:t>
      </w:r>
      <w:r>
        <w:rPr>
          <w:rFonts w:ascii="Times New Roman" w:hAnsi="Times New Roman" w:cs="Times New Roman"/>
          <w:sz w:val="28"/>
          <w:szCs w:val="28"/>
        </w:rPr>
        <w:t xml:space="preserve"> ha dato rilievo a</w:t>
      </w:r>
      <w:r w:rsidR="00571DD6">
        <w:rPr>
          <w:rFonts w:ascii="Times New Roman" w:hAnsi="Times New Roman" w:cs="Times New Roman"/>
          <w:sz w:val="28"/>
          <w:szCs w:val="28"/>
        </w:rPr>
        <w:t xml:space="preserve">l fatto che la lettera del </w:t>
      </w:r>
      <w:r w:rsidR="002864EC">
        <w:rPr>
          <w:rFonts w:ascii="Times New Roman" w:hAnsi="Times New Roman" w:cs="Times New Roman"/>
          <w:sz w:val="28"/>
          <w:szCs w:val="28"/>
        </w:rPr>
        <w:t xml:space="preserve">28/5200 </w:t>
      </w:r>
      <w:r w:rsidR="00571DD6">
        <w:rPr>
          <w:rFonts w:ascii="Times New Roman" w:hAnsi="Times New Roman" w:cs="Times New Roman"/>
          <w:sz w:val="28"/>
          <w:szCs w:val="28"/>
        </w:rPr>
        <w:t xml:space="preserve">conteneva il riferimento a </w:t>
      </w:r>
      <w:r>
        <w:rPr>
          <w:rFonts w:ascii="Times New Roman" w:hAnsi="Times New Roman" w:cs="Times New Roman"/>
          <w:sz w:val="28"/>
          <w:szCs w:val="28"/>
        </w:rPr>
        <w:t>“precedenti diffide”</w:t>
      </w:r>
      <w:r w:rsidR="006E3E13">
        <w:rPr>
          <w:rFonts w:ascii="Times New Roman" w:hAnsi="Times New Roman" w:cs="Times New Roman"/>
          <w:sz w:val="28"/>
          <w:szCs w:val="28"/>
        </w:rPr>
        <w:t xml:space="preserve">, </w:t>
      </w:r>
      <w:r w:rsidR="00571DD6">
        <w:rPr>
          <w:rFonts w:ascii="Times New Roman" w:hAnsi="Times New Roman" w:cs="Times New Roman"/>
          <w:sz w:val="28"/>
          <w:szCs w:val="28"/>
        </w:rPr>
        <w:t>le quali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E13">
        <w:rPr>
          <w:rFonts w:ascii="Times New Roman" w:hAnsi="Times New Roman" w:cs="Times New Roman"/>
          <w:sz w:val="28"/>
          <w:szCs w:val="28"/>
        </w:rPr>
        <w:t xml:space="preserve">a </w:t>
      </w:r>
      <w:r w:rsidR="00571DD6">
        <w:rPr>
          <w:rFonts w:ascii="Times New Roman" w:hAnsi="Times New Roman" w:cs="Times New Roman"/>
          <w:sz w:val="28"/>
          <w:szCs w:val="28"/>
        </w:rPr>
        <w:t>detta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E13">
        <w:rPr>
          <w:rFonts w:ascii="Times New Roman" w:hAnsi="Times New Roman" w:cs="Times New Roman"/>
          <w:sz w:val="28"/>
          <w:szCs w:val="28"/>
        </w:rPr>
        <w:t xml:space="preserve">dei giudici </w:t>
      </w:r>
      <w:r w:rsidR="002864EC">
        <w:rPr>
          <w:rFonts w:ascii="Times New Roman" w:hAnsi="Times New Roman" w:cs="Times New Roman"/>
          <w:sz w:val="28"/>
          <w:szCs w:val="28"/>
        </w:rPr>
        <w:t>ben poteva</w:t>
      </w:r>
      <w:r w:rsidR="00571DD6">
        <w:rPr>
          <w:rFonts w:ascii="Times New Roman" w:hAnsi="Times New Roman" w:cs="Times New Roman"/>
          <w:sz w:val="28"/>
          <w:szCs w:val="28"/>
        </w:rPr>
        <w:t>no</w:t>
      </w:r>
      <w:r w:rsidR="002864EC">
        <w:rPr>
          <w:rFonts w:ascii="Times New Roman" w:hAnsi="Times New Roman" w:cs="Times New Roman"/>
          <w:sz w:val="28"/>
          <w:szCs w:val="28"/>
        </w:rPr>
        <w:t xml:space="preserve"> far ipotizzare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DD6">
        <w:rPr>
          <w:rFonts w:ascii="Times New Roman" w:hAnsi="Times New Roman" w:cs="Times New Roman"/>
          <w:sz w:val="28"/>
          <w:szCs w:val="28"/>
        </w:rPr>
        <w:t>che la sc</w:t>
      </w:r>
      <w:r>
        <w:rPr>
          <w:rFonts w:ascii="Times New Roman" w:hAnsi="Times New Roman" w:cs="Times New Roman"/>
          <w:sz w:val="28"/>
          <w:szCs w:val="28"/>
        </w:rPr>
        <w:t xml:space="preserve">operta dello spoglio </w:t>
      </w:r>
      <w:r w:rsidR="00571DD6">
        <w:rPr>
          <w:rFonts w:ascii="Times New Roman" w:hAnsi="Times New Roman" w:cs="Times New Roman"/>
          <w:sz w:val="28"/>
          <w:szCs w:val="28"/>
        </w:rPr>
        <w:t>(e quindi la fine della clandestinità) fosse stata precedente di oltre un anno rispetto al 23/1/2001 (data di deposito del ricorso) con quindi superamento dei termi</w:t>
      </w:r>
      <w:r w:rsidR="00501054">
        <w:rPr>
          <w:rFonts w:ascii="Times New Roman" w:hAnsi="Times New Roman" w:cs="Times New Roman"/>
          <w:sz w:val="28"/>
          <w:szCs w:val="28"/>
        </w:rPr>
        <w:t>ni di legge per la proposizione</w:t>
      </w:r>
      <w:r w:rsidR="00571DD6">
        <w:rPr>
          <w:rFonts w:ascii="Times New Roman" w:hAnsi="Times New Roman" w:cs="Times New Roman"/>
          <w:sz w:val="28"/>
          <w:szCs w:val="28"/>
        </w:rPr>
        <w:t xml:space="preserve"> dell’azione di reintegra.</w:t>
      </w:r>
    </w:p>
    <w:p w:rsidR="00DA7AAF" w:rsidRDefault="00396030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Ciò detto</w:t>
      </w:r>
      <w:r w:rsidR="005010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054">
        <w:rPr>
          <w:rFonts w:ascii="Times New Roman" w:hAnsi="Times New Roman" w:cs="Times New Roman"/>
          <w:sz w:val="28"/>
          <w:szCs w:val="28"/>
        </w:rPr>
        <w:t xml:space="preserve">i giudici </w:t>
      </w:r>
      <w:r>
        <w:rPr>
          <w:rFonts w:ascii="Times New Roman" w:hAnsi="Times New Roman" w:cs="Times New Roman"/>
          <w:sz w:val="28"/>
          <w:szCs w:val="28"/>
        </w:rPr>
        <w:t>ha</w:t>
      </w:r>
      <w:r w:rsidR="00501054">
        <w:rPr>
          <w:rFonts w:ascii="Times New Roman" w:hAnsi="Times New Roman" w:cs="Times New Roman"/>
          <w:sz w:val="28"/>
          <w:szCs w:val="28"/>
        </w:rPr>
        <w:t>nno riconosciuto che era a carico del ricorrente</w:t>
      </w:r>
      <w:r w:rsidR="00E23AE2">
        <w:rPr>
          <w:rFonts w:ascii="Times New Roman" w:hAnsi="Times New Roman" w:cs="Times New Roman"/>
          <w:sz w:val="28"/>
          <w:szCs w:val="28"/>
        </w:rPr>
        <w:t xml:space="preserve"> l’onere della prova del </w:t>
      </w:r>
      <w:r w:rsidR="00DA7AAF">
        <w:rPr>
          <w:rFonts w:ascii="Times New Roman" w:hAnsi="Times New Roman" w:cs="Times New Roman"/>
          <w:sz w:val="28"/>
          <w:szCs w:val="28"/>
        </w:rPr>
        <w:t xml:space="preserve">contenuto </w:t>
      </w:r>
      <w:r w:rsidR="00E23AE2">
        <w:rPr>
          <w:rFonts w:ascii="Times New Roman" w:hAnsi="Times New Roman" w:cs="Times New Roman"/>
          <w:sz w:val="28"/>
          <w:szCs w:val="28"/>
        </w:rPr>
        <w:t xml:space="preserve">di quelle diffide </w:t>
      </w:r>
      <w:r>
        <w:rPr>
          <w:rFonts w:ascii="Times New Roman" w:hAnsi="Times New Roman" w:cs="Times New Roman"/>
          <w:sz w:val="28"/>
          <w:szCs w:val="28"/>
        </w:rPr>
        <w:t>e della loro data</w:t>
      </w:r>
      <w:r w:rsidR="00E23A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826">
        <w:rPr>
          <w:rFonts w:ascii="Times New Roman" w:hAnsi="Times New Roman" w:cs="Times New Roman"/>
          <w:sz w:val="28"/>
          <w:szCs w:val="28"/>
        </w:rPr>
        <w:t xml:space="preserve">e cioè a </w:t>
      </w:r>
      <w:r w:rsidR="00501054">
        <w:rPr>
          <w:rFonts w:ascii="Times New Roman" w:hAnsi="Times New Roman" w:cs="Times New Roman"/>
          <w:sz w:val="28"/>
          <w:szCs w:val="28"/>
        </w:rPr>
        <w:t xml:space="preserve">carico di </w:t>
      </w:r>
      <w:r w:rsidR="00E82826">
        <w:rPr>
          <w:rFonts w:ascii="Times New Roman" w:hAnsi="Times New Roman" w:cs="Times New Roman"/>
          <w:sz w:val="28"/>
          <w:szCs w:val="28"/>
        </w:rPr>
        <w:t>chi quelle lettere aveva a suo tempo scritto</w:t>
      </w:r>
      <w:r w:rsidR="00DA7AAF">
        <w:rPr>
          <w:rFonts w:ascii="Times New Roman" w:hAnsi="Times New Roman" w:cs="Times New Roman"/>
          <w:sz w:val="28"/>
          <w:szCs w:val="28"/>
        </w:rPr>
        <w:t>.</w:t>
      </w:r>
    </w:p>
    <w:p w:rsidR="00396030" w:rsidRDefault="006E3E13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Onere che non è stato assolto</w:t>
      </w:r>
      <w:r w:rsidR="00E82826">
        <w:rPr>
          <w:rFonts w:ascii="Times New Roman" w:hAnsi="Times New Roman" w:cs="Times New Roman"/>
          <w:sz w:val="28"/>
          <w:szCs w:val="28"/>
        </w:rPr>
        <w:t xml:space="preserve"> dall’attore</w:t>
      </w:r>
      <w:r>
        <w:rPr>
          <w:rFonts w:ascii="Times New Roman" w:hAnsi="Times New Roman" w:cs="Times New Roman"/>
          <w:sz w:val="28"/>
          <w:szCs w:val="28"/>
        </w:rPr>
        <w:t xml:space="preserve">, con conseguente dichiarazione di </w:t>
      </w:r>
      <w:r w:rsidR="005F67BD">
        <w:rPr>
          <w:rFonts w:ascii="Times New Roman" w:hAnsi="Times New Roman" w:cs="Times New Roman"/>
          <w:sz w:val="28"/>
          <w:szCs w:val="28"/>
        </w:rPr>
        <w:t xml:space="preserve">inammissibilità della domanda </w:t>
      </w:r>
      <w:r w:rsidR="00E82826">
        <w:rPr>
          <w:rFonts w:ascii="Times New Roman" w:hAnsi="Times New Roman" w:cs="Times New Roman"/>
          <w:sz w:val="28"/>
          <w:szCs w:val="28"/>
        </w:rPr>
        <w:t>di reintegrazione nel possesso</w:t>
      </w:r>
      <w:r w:rsidR="00E23AE2">
        <w:rPr>
          <w:rFonts w:ascii="Times New Roman" w:hAnsi="Times New Roman" w:cs="Times New Roman"/>
          <w:sz w:val="28"/>
          <w:szCs w:val="28"/>
        </w:rPr>
        <w:t>,</w:t>
      </w:r>
      <w:r w:rsidR="00E82826">
        <w:rPr>
          <w:rFonts w:ascii="Times New Roman" w:hAnsi="Times New Roman" w:cs="Times New Roman"/>
          <w:sz w:val="28"/>
          <w:szCs w:val="28"/>
        </w:rPr>
        <w:t xml:space="preserve"> </w:t>
      </w:r>
      <w:r w:rsidR="005F67BD">
        <w:rPr>
          <w:rFonts w:ascii="Times New Roman" w:hAnsi="Times New Roman" w:cs="Times New Roman"/>
          <w:sz w:val="28"/>
          <w:szCs w:val="28"/>
        </w:rPr>
        <w:t>per mancanza di prova della tempestività dell’azione possessoria.</w:t>
      </w:r>
    </w:p>
    <w:p w:rsidR="00566EEA" w:rsidRDefault="00566EEA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sentenza odiernamente commentata</w:t>
      </w:r>
      <w:r w:rsidR="00DA7AAF">
        <w:rPr>
          <w:rFonts w:ascii="Times New Roman" w:hAnsi="Times New Roman" w:cs="Times New Roman"/>
          <w:sz w:val="28"/>
          <w:szCs w:val="28"/>
        </w:rPr>
        <w:t xml:space="preserve"> </w:t>
      </w:r>
      <w:r w:rsidR="00396030">
        <w:rPr>
          <w:rFonts w:ascii="Times New Roman" w:hAnsi="Times New Roman" w:cs="Times New Roman"/>
          <w:sz w:val="28"/>
          <w:szCs w:val="28"/>
        </w:rPr>
        <w:t xml:space="preserve">- </w:t>
      </w:r>
      <w:r w:rsidR="00D0647A">
        <w:rPr>
          <w:rFonts w:ascii="Times New Roman" w:hAnsi="Times New Roman" w:cs="Times New Roman"/>
          <w:sz w:val="28"/>
          <w:szCs w:val="28"/>
        </w:rPr>
        <w:t>pur</w:t>
      </w:r>
      <w:r w:rsidR="00DA7AAF">
        <w:rPr>
          <w:rFonts w:ascii="Times New Roman" w:hAnsi="Times New Roman" w:cs="Times New Roman"/>
          <w:sz w:val="28"/>
          <w:szCs w:val="28"/>
        </w:rPr>
        <w:t>, come si è visto,</w:t>
      </w:r>
      <w:r w:rsidR="00D0647A">
        <w:rPr>
          <w:rFonts w:ascii="Times New Roman" w:hAnsi="Times New Roman" w:cs="Times New Roman"/>
          <w:sz w:val="28"/>
          <w:szCs w:val="28"/>
        </w:rPr>
        <w:t xml:space="preserve"> </w:t>
      </w:r>
      <w:r w:rsidR="005F67BD">
        <w:rPr>
          <w:rFonts w:ascii="Times New Roman" w:hAnsi="Times New Roman" w:cs="Times New Roman"/>
          <w:sz w:val="28"/>
          <w:szCs w:val="28"/>
        </w:rPr>
        <w:t xml:space="preserve">sorretta da un ragionamento </w:t>
      </w:r>
      <w:r w:rsidR="00E82826">
        <w:rPr>
          <w:rFonts w:ascii="Times New Roman" w:hAnsi="Times New Roman" w:cs="Times New Roman"/>
          <w:sz w:val="28"/>
          <w:szCs w:val="28"/>
        </w:rPr>
        <w:t xml:space="preserve">singolare, </w:t>
      </w:r>
      <w:r w:rsidR="005F67BD">
        <w:rPr>
          <w:rFonts w:ascii="Times New Roman" w:hAnsi="Times New Roman" w:cs="Times New Roman"/>
          <w:sz w:val="28"/>
          <w:szCs w:val="28"/>
        </w:rPr>
        <w:t>che tiene conto del caso concreto</w:t>
      </w:r>
      <w:r w:rsidR="0039603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è </w:t>
      </w:r>
      <w:r w:rsidR="00501054">
        <w:rPr>
          <w:rFonts w:ascii="Times New Roman" w:hAnsi="Times New Roman" w:cs="Times New Roman"/>
          <w:sz w:val="28"/>
          <w:szCs w:val="28"/>
        </w:rPr>
        <w:t xml:space="preserve">perfettamente </w:t>
      </w:r>
      <w:r>
        <w:rPr>
          <w:rFonts w:ascii="Times New Roman" w:hAnsi="Times New Roman" w:cs="Times New Roman"/>
          <w:sz w:val="28"/>
          <w:szCs w:val="28"/>
        </w:rPr>
        <w:t>in linea</w:t>
      </w:r>
      <w:r w:rsidR="00E82826">
        <w:rPr>
          <w:rFonts w:ascii="Times New Roman" w:hAnsi="Times New Roman" w:cs="Times New Roman"/>
          <w:sz w:val="28"/>
          <w:szCs w:val="28"/>
        </w:rPr>
        <w:t xml:space="preserve"> con altre precedenti decisioni dei giudici di legittimità.</w:t>
      </w:r>
    </w:p>
    <w:p w:rsidR="00566EEA" w:rsidRDefault="00566EEA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particolare, secondo Cass. n. 1036/1995, “</w:t>
      </w:r>
      <w:r w:rsidRPr="00566EEA">
        <w:rPr>
          <w:rFonts w:ascii="Times New Roman" w:hAnsi="Times New Roman" w:cs="Times New Roman"/>
          <w:i/>
          <w:sz w:val="28"/>
          <w:szCs w:val="28"/>
        </w:rPr>
        <w:t xml:space="preserve">si osserva </w:t>
      </w:r>
      <w:r w:rsidRPr="00566EEA">
        <w:rPr>
          <w:rFonts w:ascii="Times New Roman" w:hAnsi="Times New Roman" w:cs="Times New Roman"/>
          <w:i/>
          <w:sz w:val="28"/>
          <w:szCs w:val="28"/>
          <w:u w:val="single"/>
        </w:rPr>
        <w:t>che in linea di principio l'onere della prova della tempestività della proposizione dell'azione possessoria incombe sull'attore</w:t>
      </w:r>
      <w:r w:rsidRPr="00566EEA">
        <w:rPr>
          <w:rFonts w:ascii="Times New Roman" w:hAnsi="Times New Roman" w:cs="Times New Roman"/>
          <w:i/>
          <w:sz w:val="28"/>
          <w:szCs w:val="28"/>
        </w:rPr>
        <w:t>, essendo il relativo termine di decadenza e non di prescrizione, onde il suo non ancora avvenuto decorso, costituendo condizione per l'esercizio dell'azione possessoria, deve essere provato da chi proponga l'azione, in quanto tenuto a dimostrare la sussistenza dei presupposti processuali della domanda.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0A7381" w:rsidRDefault="00E82826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Conforme, anche se potrebbe sembrare il contrario, è a</w:t>
      </w:r>
      <w:r w:rsidR="00E23AE2">
        <w:rPr>
          <w:rFonts w:ascii="Times New Roman" w:hAnsi="Times New Roman" w:cs="Times New Roman"/>
          <w:sz w:val="28"/>
          <w:szCs w:val="28"/>
        </w:rPr>
        <w:t xml:space="preserve">nche </w:t>
      </w:r>
      <w:r w:rsidR="00566EEA">
        <w:rPr>
          <w:rFonts w:ascii="Times New Roman" w:hAnsi="Times New Roman" w:cs="Times New Roman"/>
          <w:sz w:val="28"/>
          <w:szCs w:val="28"/>
        </w:rPr>
        <w:t>Cass. 20228/2009 “</w:t>
      </w:r>
      <w:r w:rsidR="00566EEA" w:rsidRPr="00566EEA">
        <w:rPr>
          <w:rFonts w:ascii="Times New Roman" w:hAnsi="Times New Roman" w:cs="Times New Roman"/>
          <w:i/>
          <w:sz w:val="28"/>
          <w:szCs w:val="28"/>
          <w:u w:val="single"/>
        </w:rPr>
        <w:t>il M., proprietario dal (OMISSIS) ed attore in possessoria, sul quale incombe l'onere di provare la tempestività dell'esercizio dell'azione</w:t>
      </w:r>
      <w:r w:rsidR="00566EEA" w:rsidRPr="00566EEA">
        <w:rPr>
          <w:rFonts w:ascii="Times New Roman" w:hAnsi="Times New Roman" w:cs="Times New Roman"/>
          <w:i/>
          <w:sz w:val="28"/>
          <w:szCs w:val="28"/>
        </w:rPr>
        <w:t>, è tenuto a provare solo la clandestinità dell'atto violatore del possesso e la data di scoperta di esso da parte sua, iniziando a decorrere il termine annuale di decadenza dal momento in cui cessa la clandestinità e lo spossessato venga a conoscenza dell'illecito o sia in condizione, usando la normale diligenza di venirne a conoscenza; restando a carico dello spoliatore l'onere di provare l'intempestività dell'azione a decorrere dall'epoca di conoscenza o conoscibilità dello spoglio</w:t>
      </w:r>
      <w:r w:rsidR="00566EEA">
        <w:rPr>
          <w:rFonts w:ascii="Times New Roman" w:hAnsi="Times New Roman" w:cs="Times New Roman"/>
          <w:sz w:val="28"/>
          <w:szCs w:val="28"/>
        </w:rPr>
        <w:t>”.</w:t>
      </w:r>
      <w:r w:rsidR="00566EEA" w:rsidRPr="00566EEA">
        <w:rPr>
          <w:rFonts w:ascii="Times New Roman" w:hAnsi="Times New Roman" w:cs="Times New Roman"/>
          <w:sz w:val="28"/>
          <w:szCs w:val="28"/>
        </w:rPr>
        <w:t> </w:t>
      </w:r>
    </w:p>
    <w:p w:rsidR="00E82826" w:rsidRDefault="00E82826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 caso oggi commentato, infatti, si resta infatti sempre nell’ambito della prova offerta dal ricorrente che</w:t>
      </w:r>
      <w:r w:rsidR="003A5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nel momento in cui ha prodotto la lettera del 28/5/2000</w:t>
      </w:r>
      <w:r w:rsidR="003A5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non ha evidentemente </w:t>
      </w:r>
      <w:r w:rsidR="003A537E">
        <w:rPr>
          <w:rFonts w:ascii="Times New Roman" w:hAnsi="Times New Roman" w:cs="Times New Roman"/>
          <w:sz w:val="28"/>
          <w:szCs w:val="28"/>
        </w:rPr>
        <w:t>dato il giusto peso al riferimento che essa conteneva a sue “precedenti diffide”.</w:t>
      </w:r>
    </w:p>
    <w:p w:rsidR="00E23AE2" w:rsidRDefault="00E23AE2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la conseguenza che l’onere della prova </w:t>
      </w:r>
      <w:r w:rsidR="00501054">
        <w:rPr>
          <w:rFonts w:ascii="Times New Roman" w:hAnsi="Times New Roman" w:cs="Times New Roman"/>
          <w:sz w:val="28"/>
          <w:szCs w:val="28"/>
        </w:rPr>
        <w:t xml:space="preserve">delle stesse </w:t>
      </w:r>
      <w:r>
        <w:rPr>
          <w:rFonts w:ascii="Times New Roman" w:hAnsi="Times New Roman" w:cs="Times New Roman"/>
          <w:sz w:val="28"/>
          <w:szCs w:val="28"/>
        </w:rPr>
        <w:t xml:space="preserve">spettava ancora al ricorrente e </w:t>
      </w:r>
      <w:r w:rsidR="00501054">
        <w:rPr>
          <w:rFonts w:ascii="Times New Roman" w:hAnsi="Times New Roman" w:cs="Times New Roman"/>
          <w:sz w:val="28"/>
          <w:szCs w:val="28"/>
        </w:rPr>
        <w:t>che quindi non era ancora</w:t>
      </w:r>
      <w:r>
        <w:rPr>
          <w:rFonts w:ascii="Times New Roman" w:hAnsi="Times New Roman" w:cs="Times New Roman"/>
          <w:sz w:val="28"/>
          <w:szCs w:val="28"/>
        </w:rPr>
        <w:t xml:space="preserve"> passato al convenuto </w:t>
      </w:r>
      <w:r w:rsidR="00501054">
        <w:rPr>
          <w:rFonts w:ascii="Times New Roman" w:hAnsi="Times New Roman" w:cs="Times New Roman"/>
          <w:sz w:val="28"/>
          <w:szCs w:val="28"/>
        </w:rPr>
        <w:t>l’onere di contestare le risultanze offerte dall’attore, provando se del caso che esse</w:t>
      </w:r>
      <w:r>
        <w:rPr>
          <w:rFonts w:ascii="Times New Roman" w:hAnsi="Times New Roman" w:cs="Times New Roman"/>
          <w:sz w:val="28"/>
          <w:szCs w:val="28"/>
        </w:rPr>
        <w:t xml:space="preserve"> non era</w:t>
      </w:r>
      <w:r w:rsidR="00501054">
        <w:rPr>
          <w:rFonts w:ascii="Times New Roman" w:hAnsi="Times New Roman" w:cs="Times New Roman"/>
          <w:sz w:val="28"/>
          <w:szCs w:val="28"/>
        </w:rPr>
        <w:t>no conformi al vero</w:t>
      </w:r>
      <w:r>
        <w:rPr>
          <w:rFonts w:ascii="Times New Roman" w:hAnsi="Times New Roman" w:cs="Times New Roman"/>
          <w:sz w:val="28"/>
          <w:szCs w:val="28"/>
        </w:rPr>
        <w:t xml:space="preserve"> o </w:t>
      </w:r>
      <w:r w:rsidR="00501054">
        <w:rPr>
          <w:rFonts w:ascii="Times New Roman" w:hAnsi="Times New Roman" w:cs="Times New Roman"/>
          <w:sz w:val="28"/>
          <w:szCs w:val="28"/>
        </w:rPr>
        <w:t>che comunque erano superate da altre prove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4EC" w:rsidRDefault="005F67BD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merito la sentenza ha poi e comunque riconosciuto che </w:t>
      </w:r>
      <w:r w:rsidR="00501054">
        <w:rPr>
          <w:rFonts w:ascii="Times New Roman" w:hAnsi="Times New Roman" w:cs="Times New Roman"/>
          <w:sz w:val="28"/>
          <w:szCs w:val="28"/>
        </w:rPr>
        <w:t xml:space="preserve">non c’era stato alcuno spoglio - </w:t>
      </w:r>
      <w:r>
        <w:rPr>
          <w:rFonts w:ascii="Times New Roman" w:hAnsi="Times New Roman" w:cs="Times New Roman"/>
          <w:sz w:val="28"/>
          <w:szCs w:val="28"/>
        </w:rPr>
        <w:t>nel</w:t>
      </w:r>
      <w:r w:rsidR="00501054">
        <w:rPr>
          <w:rFonts w:ascii="Times New Roman" w:hAnsi="Times New Roman" w:cs="Times New Roman"/>
          <w:sz w:val="28"/>
          <w:szCs w:val="28"/>
        </w:rPr>
        <w:t>la specie del diritto di veduta -</w:t>
      </w:r>
      <w:r>
        <w:rPr>
          <w:rFonts w:ascii="Times New Roman" w:hAnsi="Times New Roman" w:cs="Times New Roman"/>
          <w:sz w:val="28"/>
          <w:szCs w:val="28"/>
        </w:rPr>
        <w:t xml:space="preserve"> in quanto</w:t>
      </w:r>
      <w:r w:rsidR="00501054">
        <w:rPr>
          <w:rFonts w:ascii="Times New Roman" w:hAnsi="Times New Roman" w:cs="Times New Roman"/>
          <w:sz w:val="28"/>
          <w:szCs w:val="28"/>
        </w:rPr>
        <w:t>, secondo i giudici di legittimità,</w:t>
      </w:r>
      <w:r>
        <w:rPr>
          <w:rFonts w:ascii="Times New Roman" w:hAnsi="Times New Roman" w:cs="Times New Roman"/>
          <w:sz w:val="28"/>
          <w:szCs w:val="28"/>
        </w:rPr>
        <w:t xml:space="preserve"> la veduta presuppone l’esistenza di una finestra, di un parapetto o altra apertura su</w:t>
      </w:r>
      <w:r w:rsidR="007B3771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fondo del vicino, di cui il ricorrente</w:t>
      </w:r>
      <w:r w:rsidR="003A537E">
        <w:rPr>
          <w:rFonts w:ascii="Times New Roman" w:hAnsi="Times New Roman" w:cs="Times New Roman"/>
          <w:sz w:val="28"/>
          <w:szCs w:val="28"/>
        </w:rPr>
        <w:t xml:space="preserve"> non aveva fornito alcuna prova</w:t>
      </w:r>
      <w:r w:rsidR="002864EC">
        <w:rPr>
          <w:rFonts w:ascii="Times New Roman" w:hAnsi="Times New Roman" w:cs="Times New Roman"/>
          <w:sz w:val="28"/>
          <w:szCs w:val="28"/>
        </w:rPr>
        <w:t>.</w:t>
      </w:r>
    </w:p>
    <w:p w:rsidR="002864EC" w:rsidRDefault="002864EC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ricorrente si era solo lamentato che era stato innalzato di qualche centimetro un muro comune</w:t>
      </w:r>
      <w:r w:rsidR="005010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insistente tra la sua proprietà e quella del vicino.</w:t>
      </w:r>
    </w:p>
    <w:p w:rsidR="005F67BD" w:rsidRDefault="002864EC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Corte</w:t>
      </w:r>
      <w:r w:rsidR="00501054">
        <w:rPr>
          <w:rFonts w:ascii="Times New Roman" w:hAnsi="Times New Roman" w:cs="Times New Roman"/>
          <w:sz w:val="28"/>
          <w:szCs w:val="28"/>
        </w:rPr>
        <w:t xml:space="preserve"> di cassazione (conformemente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 Cass. 6407/1994) ha deciso che</w:t>
      </w:r>
      <w:r w:rsidR="003A5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864EC">
        <w:rPr>
          <w:rFonts w:ascii="Times New Roman" w:hAnsi="Times New Roman" w:cs="Times New Roman"/>
          <w:i/>
          <w:sz w:val="28"/>
          <w:szCs w:val="28"/>
        </w:rPr>
        <w:t>Il muro divisorio o di cinta non può dare luogo all'esercizio di una servitù di veduta sia perché ha solo funzione di demarcazione del confine e o tutela del fondo sia perché, anche quando consente di inspicere e prospicere sul fondo altrui, è inidoneo a costituire una situazione di soggezione di un fondo all'altro a causa della reciproca possibilità di affaccio dei proprietari dei fondi confinanti.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0A7381" w:rsidRDefault="000A7381" w:rsidP="00D0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DDA" w:rsidRPr="00C07DDA" w:rsidRDefault="00DD46C2" w:rsidP="00D02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7DDA" w:rsidRPr="00C07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F8" w:rsidRDefault="006E53F8" w:rsidP="00441080">
      <w:pPr>
        <w:spacing w:after="0" w:line="240" w:lineRule="auto"/>
      </w:pPr>
      <w:r>
        <w:separator/>
      </w:r>
    </w:p>
  </w:endnote>
  <w:endnote w:type="continuationSeparator" w:id="0">
    <w:p w:rsidR="006E53F8" w:rsidRDefault="006E53F8" w:rsidP="0044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F8" w:rsidRDefault="006E53F8" w:rsidP="00441080">
      <w:pPr>
        <w:spacing w:after="0" w:line="240" w:lineRule="auto"/>
      </w:pPr>
      <w:r>
        <w:separator/>
      </w:r>
    </w:p>
  </w:footnote>
  <w:footnote w:type="continuationSeparator" w:id="0">
    <w:p w:rsidR="006E53F8" w:rsidRDefault="006E53F8" w:rsidP="00441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6D"/>
    <w:rsid w:val="000A7381"/>
    <w:rsid w:val="000A7957"/>
    <w:rsid w:val="000F3666"/>
    <w:rsid w:val="001B0353"/>
    <w:rsid w:val="001C5DF0"/>
    <w:rsid w:val="001C62C5"/>
    <w:rsid w:val="00214B52"/>
    <w:rsid w:val="00231006"/>
    <w:rsid w:val="00264A3E"/>
    <w:rsid w:val="002864EC"/>
    <w:rsid w:val="002C1FF3"/>
    <w:rsid w:val="00366055"/>
    <w:rsid w:val="00396030"/>
    <w:rsid w:val="003A537E"/>
    <w:rsid w:val="00441080"/>
    <w:rsid w:val="00462C9F"/>
    <w:rsid w:val="00501054"/>
    <w:rsid w:val="00557F35"/>
    <w:rsid w:val="00566EEA"/>
    <w:rsid w:val="00571DD6"/>
    <w:rsid w:val="005E4263"/>
    <w:rsid w:val="005F67BD"/>
    <w:rsid w:val="006D68A2"/>
    <w:rsid w:val="006E3E13"/>
    <w:rsid w:val="006E53F8"/>
    <w:rsid w:val="006E603D"/>
    <w:rsid w:val="0073255D"/>
    <w:rsid w:val="007743F5"/>
    <w:rsid w:val="007B3771"/>
    <w:rsid w:val="007E15B4"/>
    <w:rsid w:val="00814A24"/>
    <w:rsid w:val="00815AFD"/>
    <w:rsid w:val="0088307C"/>
    <w:rsid w:val="008E0A16"/>
    <w:rsid w:val="00900515"/>
    <w:rsid w:val="00925A28"/>
    <w:rsid w:val="009B5F54"/>
    <w:rsid w:val="00A337FD"/>
    <w:rsid w:val="00A3592D"/>
    <w:rsid w:val="00A56217"/>
    <w:rsid w:val="00A66D41"/>
    <w:rsid w:val="00A72F91"/>
    <w:rsid w:val="00B41C78"/>
    <w:rsid w:val="00B518E7"/>
    <w:rsid w:val="00B75BD6"/>
    <w:rsid w:val="00BD0913"/>
    <w:rsid w:val="00C07DDA"/>
    <w:rsid w:val="00C42DA9"/>
    <w:rsid w:val="00C977D0"/>
    <w:rsid w:val="00CA7D63"/>
    <w:rsid w:val="00CC20BE"/>
    <w:rsid w:val="00D024FC"/>
    <w:rsid w:val="00D0647A"/>
    <w:rsid w:val="00D12761"/>
    <w:rsid w:val="00D153B6"/>
    <w:rsid w:val="00D7296D"/>
    <w:rsid w:val="00D86AAF"/>
    <w:rsid w:val="00DA6DBA"/>
    <w:rsid w:val="00DA7AAF"/>
    <w:rsid w:val="00DD46C2"/>
    <w:rsid w:val="00E23AE2"/>
    <w:rsid w:val="00E82826"/>
    <w:rsid w:val="00E92677"/>
    <w:rsid w:val="00EB6946"/>
    <w:rsid w:val="00EC1194"/>
    <w:rsid w:val="00F5259C"/>
    <w:rsid w:val="00F83CDE"/>
    <w:rsid w:val="00F84129"/>
    <w:rsid w:val="00FA559D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F45057"/>
  <w15:chartTrackingRefBased/>
  <w15:docId w15:val="{3EE657AF-DFE4-49E7-B298-AD826D6F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743F5"/>
  </w:style>
  <w:style w:type="paragraph" w:styleId="Corpotesto">
    <w:name w:val="Body Text"/>
    <w:basedOn w:val="Normale"/>
    <w:link w:val="CorpotestoCarattere"/>
    <w:uiPriority w:val="99"/>
    <w:semiHidden/>
    <w:unhideWhenUsed/>
    <w:rsid w:val="002C1F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CAPPONI</dc:creator>
  <cp:keywords/>
  <dc:description/>
  <cp:lastModifiedBy>PIER PAOLO CAPPONI</cp:lastModifiedBy>
  <cp:revision>9</cp:revision>
  <dcterms:created xsi:type="dcterms:W3CDTF">2016-10-04T14:40:00Z</dcterms:created>
  <dcterms:modified xsi:type="dcterms:W3CDTF">2016-10-05T12:35:00Z</dcterms:modified>
</cp:coreProperties>
</file>