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815" w:rsidRDefault="006179F3" w:rsidP="00C15882">
      <w:pPr>
        <w:jc w:val="both"/>
        <w:rPr>
          <w:rFonts w:ascii="Times New Roman" w:hAnsi="Times New Roman" w:cs="Times New Roman"/>
          <w:sz w:val="28"/>
          <w:szCs w:val="28"/>
        </w:rPr>
      </w:pPr>
      <w:r>
        <w:rPr>
          <w:rFonts w:ascii="Times New Roman" w:hAnsi="Times New Roman" w:cs="Times New Roman"/>
          <w:sz w:val="28"/>
          <w:szCs w:val="28"/>
        </w:rPr>
        <w:t>I CONDOMINII POSSONO ESSERE AMMINISTRATI DALLE</w:t>
      </w:r>
      <w:r w:rsidR="00D358F8">
        <w:rPr>
          <w:rFonts w:ascii="Times New Roman" w:hAnsi="Times New Roman" w:cs="Times New Roman"/>
          <w:sz w:val="28"/>
          <w:szCs w:val="28"/>
        </w:rPr>
        <w:t xml:space="preserve"> SOCIETA’ COOPERATIVE</w:t>
      </w:r>
      <w:r>
        <w:rPr>
          <w:rFonts w:ascii="Times New Roman" w:hAnsi="Times New Roman" w:cs="Times New Roman"/>
          <w:sz w:val="28"/>
          <w:szCs w:val="28"/>
        </w:rPr>
        <w:t>?</w:t>
      </w:r>
      <w:bookmarkStart w:id="0" w:name="_GoBack"/>
      <w:bookmarkEnd w:id="0"/>
    </w:p>
    <w:p w:rsidR="00A2612A" w:rsidRDefault="00A2612A" w:rsidP="00C15882">
      <w:pPr>
        <w:jc w:val="both"/>
        <w:rPr>
          <w:rFonts w:ascii="Times New Roman" w:hAnsi="Times New Roman" w:cs="Times New Roman"/>
          <w:sz w:val="28"/>
          <w:szCs w:val="28"/>
        </w:rPr>
      </w:pPr>
    </w:p>
    <w:p w:rsidR="00A2612A" w:rsidRDefault="00A2612A" w:rsidP="00C15882">
      <w:pPr>
        <w:jc w:val="both"/>
        <w:rPr>
          <w:rFonts w:ascii="Times New Roman" w:hAnsi="Times New Roman" w:cs="Times New Roman"/>
          <w:sz w:val="28"/>
          <w:szCs w:val="28"/>
        </w:rPr>
      </w:pPr>
      <w:r>
        <w:rPr>
          <w:rFonts w:ascii="Times New Roman" w:hAnsi="Times New Roman" w:cs="Times New Roman"/>
          <w:sz w:val="28"/>
          <w:szCs w:val="28"/>
        </w:rPr>
        <w:t>Il Tribunale di Gorizia con la sentenza n. 462 del 28/1</w:t>
      </w:r>
      <w:r w:rsidR="00904497">
        <w:rPr>
          <w:rFonts w:ascii="Times New Roman" w:hAnsi="Times New Roman" w:cs="Times New Roman"/>
          <w:sz w:val="28"/>
          <w:szCs w:val="28"/>
        </w:rPr>
        <w:t>1/2016</w:t>
      </w:r>
      <w:r w:rsidR="00D358F8">
        <w:rPr>
          <w:rFonts w:ascii="Times New Roman" w:hAnsi="Times New Roman" w:cs="Times New Roman"/>
          <w:sz w:val="28"/>
          <w:szCs w:val="28"/>
        </w:rPr>
        <w:t xml:space="preserve">, la prima e l’unica che sinora ha affrontato la materia, ha </w:t>
      </w:r>
      <w:r w:rsidR="00FD5272">
        <w:rPr>
          <w:rFonts w:ascii="Times New Roman" w:hAnsi="Times New Roman" w:cs="Times New Roman"/>
          <w:sz w:val="28"/>
          <w:szCs w:val="28"/>
        </w:rPr>
        <w:t xml:space="preserve">risolto </w:t>
      </w:r>
      <w:r w:rsidR="00D358F8">
        <w:rPr>
          <w:rFonts w:ascii="Times New Roman" w:hAnsi="Times New Roman" w:cs="Times New Roman"/>
          <w:sz w:val="28"/>
          <w:szCs w:val="28"/>
        </w:rPr>
        <w:t>in modo favorevole il quesito circa la</w:t>
      </w:r>
      <w:r>
        <w:rPr>
          <w:rFonts w:ascii="Times New Roman" w:hAnsi="Times New Roman" w:cs="Times New Roman"/>
          <w:sz w:val="28"/>
          <w:szCs w:val="28"/>
        </w:rPr>
        <w:t xml:space="preserve"> possibilità per le società cooperative di amminist</w:t>
      </w:r>
      <w:r w:rsidR="00904497">
        <w:rPr>
          <w:rFonts w:ascii="Times New Roman" w:hAnsi="Times New Roman" w:cs="Times New Roman"/>
          <w:sz w:val="28"/>
          <w:szCs w:val="28"/>
        </w:rPr>
        <w:t>rare un condominio</w:t>
      </w:r>
      <w:r>
        <w:rPr>
          <w:rFonts w:ascii="Times New Roman" w:hAnsi="Times New Roman" w:cs="Times New Roman"/>
          <w:sz w:val="28"/>
          <w:szCs w:val="28"/>
        </w:rPr>
        <w:t>.</w:t>
      </w:r>
    </w:p>
    <w:p w:rsidR="00A2612A" w:rsidRDefault="00A2612A" w:rsidP="00C15882">
      <w:pPr>
        <w:jc w:val="both"/>
        <w:rPr>
          <w:rFonts w:ascii="Times New Roman" w:hAnsi="Times New Roman" w:cs="Times New Roman"/>
          <w:sz w:val="28"/>
          <w:szCs w:val="28"/>
        </w:rPr>
      </w:pPr>
      <w:r>
        <w:rPr>
          <w:rFonts w:ascii="Times New Roman" w:hAnsi="Times New Roman" w:cs="Times New Roman"/>
          <w:sz w:val="28"/>
          <w:szCs w:val="28"/>
        </w:rPr>
        <w:t>Secondo il Tribunale</w:t>
      </w:r>
      <w:r w:rsidR="00904497">
        <w:rPr>
          <w:rFonts w:ascii="Times New Roman" w:hAnsi="Times New Roman" w:cs="Times New Roman"/>
          <w:sz w:val="28"/>
          <w:szCs w:val="28"/>
        </w:rPr>
        <w:t xml:space="preserve"> friulano</w:t>
      </w:r>
      <w:r>
        <w:rPr>
          <w:rFonts w:ascii="Times New Roman" w:hAnsi="Times New Roman" w:cs="Times New Roman"/>
          <w:sz w:val="28"/>
          <w:szCs w:val="28"/>
        </w:rPr>
        <w:t xml:space="preserve">, nonostante </w:t>
      </w:r>
      <w:r w:rsidR="000F5A0B">
        <w:rPr>
          <w:rFonts w:ascii="Times New Roman" w:hAnsi="Times New Roman" w:cs="Times New Roman"/>
          <w:sz w:val="28"/>
          <w:szCs w:val="28"/>
        </w:rPr>
        <w:t>il terzo comma del</w:t>
      </w:r>
      <w:r>
        <w:rPr>
          <w:rFonts w:ascii="Times New Roman" w:hAnsi="Times New Roman" w:cs="Times New Roman"/>
          <w:sz w:val="28"/>
          <w:szCs w:val="28"/>
        </w:rPr>
        <w:t xml:space="preserve">l’art. 71 </w:t>
      </w:r>
      <w:r w:rsidR="000F5A0B">
        <w:rPr>
          <w:rFonts w:ascii="Times New Roman" w:hAnsi="Times New Roman" w:cs="Times New Roman"/>
          <w:sz w:val="28"/>
          <w:szCs w:val="28"/>
        </w:rPr>
        <w:t xml:space="preserve">bis </w:t>
      </w:r>
      <w:proofErr w:type="spellStart"/>
      <w:r>
        <w:rPr>
          <w:rFonts w:ascii="Times New Roman" w:hAnsi="Times New Roman" w:cs="Times New Roman"/>
          <w:sz w:val="28"/>
          <w:szCs w:val="28"/>
        </w:rPr>
        <w:t>disp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att</w:t>
      </w:r>
      <w:proofErr w:type="spellEnd"/>
      <w:r>
        <w:rPr>
          <w:rFonts w:ascii="Times New Roman" w:hAnsi="Times New Roman" w:cs="Times New Roman"/>
          <w:sz w:val="28"/>
          <w:szCs w:val="28"/>
        </w:rPr>
        <w:t>.</w:t>
      </w:r>
      <w:r w:rsidR="00904497">
        <w:rPr>
          <w:rFonts w:ascii="Times New Roman" w:hAnsi="Times New Roman" w:cs="Times New Roman"/>
          <w:sz w:val="28"/>
          <w:szCs w:val="28"/>
        </w:rPr>
        <w:t xml:space="preserve"> </w:t>
      </w:r>
      <w:r>
        <w:rPr>
          <w:rFonts w:ascii="Times New Roman" w:hAnsi="Times New Roman" w:cs="Times New Roman"/>
          <w:sz w:val="28"/>
          <w:szCs w:val="28"/>
        </w:rPr>
        <w:t xml:space="preserve">c.c. </w:t>
      </w:r>
      <w:r w:rsidR="00904497">
        <w:rPr>
          <w:rFonts w:ascii="Times New Roman" w:hAnsi="Times New Roman" w:cs="Times New Roman"/>
          <w:sz w:val="28"/>
          <w:szCs w:val="28"/>
        </w:rPr>
        <w:t xml:space="preserve">prevede </w:t>
      </w:r>
      <w:proofErr w:type="spellStart"/>
      <w:r w:rsidR="00D358F8" w:rsidRPr="00D358F8">
        <w:rPr>
          <w:rFonts w:ascii="Times New Roman" w:hAnsi="Times New Roman" w:cs="Times New Roman"/>
          <w:i/>
          <w:sz w:val="28"/>
          <w:szCs w:val="28"/>
        </w:rPr>
        <w:t>expressis</w:t>
      </w:r>
      <w:proofErr w:type="spellEnd"/>
      <w:r w:rsidR="00D358F8" w:rsidRPr="00D358F8">
        <w:rPr>
          <w:rFonts w:ascii="Times New Roman" w:hAnsi="Times New Roman" w:cs="Times New Roman"/>
          <w:i/>
          <w:sz w:val="28"/>
          <w:szCs w:val="28"/>
        </w:rPr>
        <w:t xml:space="preserve"> </w:t>
      </w:r>
      <w:proofErr w:type="spellStart"/>
      <w:r w:rsidR="00D358F8" w:rsidRPr="00D358F8">
        <w:rPr>
          <w:rFonts w:ascii="Times New Roman" w:hAnsi="Times New Roman" w:cs="Times New Roman"/>
          <w:i/>
          <w:sz w:val="28"/>
          <w:szCs w:val="28"/>
        </w:rPr>
        <w:t>verbis</w:t>
      </w:r>
      <w:proofErr w:type="spellEnd"/>
      <w:r w:rsidR="00D358F8">
        <w:rPr>
          <w:rFonts w:ascii="Times New Roman" w:hAnsi="Times New Roman" w:cs="Times New Roman"/>
          <w:sz w:val="28"/>
          <w:szCs w:val="28"/>
        </w:rPr>
        <w:t xml:space="preserve"> che i condomi</w:t>
      </w:r>
      <w:r w:rsidR="00904497">
        <w:rPr>
          <w:rFonts w:ascii="Times New Roman" w:hAnsi="Times New Roman" w:cs="Times New Roman"/>
          <w:sz w:val="28"/>
          <w:szCs w:val="28"/>
        </w:rPr>
        <w:t>ni</w:t>
      </w:r>
      <w:r w:rsidR="00D358F8">
        <w:rPr>
          <w:rFonts w:ascii="Times New Roman" w:hAnsi="Times New Roman" w:cs="Times New Roman"/>
          <w:sz w:val="28"/>
          <w:szCs w:val="28"/>
        </w:rPr>
        <w:t>i</w:t>
      </w:r>
      <w:r w:rsidR="00904497">
        <w:rPr>
          <w:rFonts w:ascii="Times New Roman" w:hAnsi="Times New Roman" w:cs="Times New Roman"/>
          <w:sz w:val="28"/>
          <w:szCs w:val="28"/>
        </w:rPr>
        <w:t xml:space="preserve"> possono essere amministrati dalle società di cui al titolo V del libro V del codice civile (e cioè le società di persone e </w:t>
      </w:r>
      <w:r w:rsidR="00D358F8">
        <w:rPr>
          <w:rFonts w:ascii="Times New Roman" w:hAnsi="Times New Roman" w:cs="Times New Roman"/>
          <w:sz w:val="28"/>
          <w:szCs w:val="28"/>
        </w:rPr>
        <w:t xml:space="preserve">quelle </w:t>
      </w:r>
      <w:r w:rsidR="00904497">
        <w:rPr>
          <w:rFonts w:ascii="Times New Roman" w:hAnsi="Times New Roman" w:cs="Times New Roman"/>
          <w:sz w:val="28"/>
          <w:szCs w:val="28"/>
        </w:rPr>
        <w:t>di capitali)</w:t>
      </w:r>
      <w:r w:rsidR="00870436">
        <w:rPr>
          <w:rFonts w:ascii="Times New Roman" w:hAnsi="Times New Roman" w:cs="Times New Roman"/>
          <w:sz w:val="28"/>
          <w:szCs w:val="28"/>
        </w:rPr>
        <w:t>,</w:t>
      </w:r>
      <w:r w:rsidR="00904497">
        <w:rPr>
          <w:rFonts w:ascii="Times New Roman" w:hAnsi="Times New Roman" w:cs="Times New Roman"/>
          <w:sz w:val="28"/>
          <w:szCs w:val="28"/>
        </w:rPr>
        <w:t xml:space="preserve"> ha ritenuto possibile estendere analogicamente la norma</w:t>
      </w:r>
      <w:r w:rsidR="00667753">
        <w:rPr>
          <w:rFonts w:ascii="Times New Roman" w:hAnsi="Times New Roman" w:cs="Times New Roman"/>
          <w:sz w:val="28"/>
          <w:szCs w:val="28"/>
        </w:rPr>
        <w:t xml:space="preserve"> anche alle società cooperative (disciplinate dal titolo VI dello stesso libro)</w:t>
      </w:r>
      <w:r w:rsidR="00904497">
        <w:rPr>
          <w:rFonts w:ascii="Times New Roman" w:hAnsi="Times New Roman" w:cs="Times New Roman"/>
          <w:sz w:val="28"/>
          <w:szCs w:val="28"/>
        </w:rPr>
        <w:t xml:space="preserve"> non venendo meno, a suo dire, le garanzie che i</w:t>
      </w:r>
      <w:r w:rsidR="00FD5272">
        <w:rPr>
          <w:rFonts w:ascii="Times New Roman" w:hAnsi="Times New Roman" w:cs="Times New Roman"/>
          <w:sz w:val="28"/>
          <w:szCs w:val="28"/>
        </w:rPr>
        <w:t>l legislatore ha voluto assicurare ai condomini amministrati</w:t>
      </w:r>
      <w:r w:rsidR="00904497">
        <w:rPr>
          <w:rFonts w:ascii="Times New Roman" w:hAnsi="Times New Roman" w:cs="Times New Roman"/>
          <w:sz w:val="28"/>
          <w:szCs w:val="28"/>
        </w:rPr>
        <w:t xml:space="preserve">. </w:t>
      </w:r>
    </w:p>
    <w:p w:rsidR="00904497" w:rsidRDefault="00904497" w:rsidP="00C15882">
      <w:pPr>
        <w:jc w:val="both"/>
        <w:rPr>
          <w:rFonts w:ascii="Times New Roman" w:hAnsi="Times New Roman" w:cs="Times New Roman"/>
          <w:sz w:val="28"/>
          <w:szCs w:val="28"/>
        </w:rPr>
      </w:pPr>
      <w:r>
        <w:rPr>
          <w:rFonts w:ascii="Times New Roman" w:hAnsi="Times New Roman" w:cs="Times New Roman"/>
          <w:sz w:val="28"/>
          <w:szCs w:val="28"/>
        </w:rPr>
        <w:t>Questo il lucido ed articolato ragionamento del Tribunale.</w:t>
      </w:r>
    </w:p>
    <w:p w:rsidR="00FD5272" w:rsidRDefault="00FD5272" w:rsidP="00C15882">
      <w:pPr>
        <w:jc w:val="both"/>
        <w:rPr>
          <w:rFonts w:ascii="Times New Roman" w:hAnsi="Times New Roman" w:cs="Times New Roman"/>
          <w:sz w:val="28"/>
          <w:szCs w:val="28"/>
        </w:rPr>
      </w:pPr>
      <w:r>
        <w:rPr>
          <w:rFonts w:ascii="Times New Roman" w:hAnsi="Times New Roman" w:cs="Times New Roman"/>
          <w:sz w:val="28"/>
          <w:szCs w:val="28"/>
        </w:rPr>
        <w:t xml:space="preserve">Innanzitutto la sentenza da atto </w:t>
      </w:r>
      <w:r w:rsidR="00904497">
        <w:rPr>
          <w:rFonts w:ascii="Times New Roman" w:hAnsi="Times New Roman" w:cs="Times New Roman"/>
          <w:sz w:val="28"/>
          <w:szCs w:val="28"/>
        </w:rPr>
        <w:t>che l</w:t>
      </w:r>
      <w:r>
        <w:rPr>
          <w:rFonts w:ascii="Times New Roman" w:hAnsi="Times New Roman" w:cs="Times New Roman"/>
          <w:sz w:val="28"/>
          <w:szCs w:val="28"/>
        </w:rPr>
        <w:t xml:space="preserve">'art. 71 bis </w:t>
      </w:r>
      <w:proofErr w:type="spellStart"/>
      <w:r>
        <w:rPr>
          <w:rFonts w:ascii="Times New Roman" w:hAnsi="Times New Roman" w:cs="Times New Roman"/>
          <w:sz w:val="28"/>
          <w:szCs w:val="28"/>
        </w:rPr>
        <w:t>disp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att</w:t>
      </w:r>
      <w:proofErr w:type="spellEnd"/>
      <w:r>
        <w:rPr>
          <w:rFonts w:ascii="Times New Roman" w:hAnsi="Times New Roman" w:cs="Times New Roman"/>
          <w:sz w:val="28"/>
          <w:szCs w:val="28"/>
        </w:rPr>
        <w:t xml:space="preserve">. c.c., </w:t>
      </w:r>
      <w:r w:rsidR="00724A74" w:rsidRPr="00904497">
        <w:rPr>
          <w:rFonts w:ascii="Times New Roman" w:hAnsi="Times New Roman" w:cs="Times New Roman"/>
          <w:sz w:val="28"/>
          <w:szCs w:val="28"/>
        </w:rPr>
        <w:t xml:space="preserve">introdotto dalla L. 1 </w:t>
      </w:r>
      <w:r w:rsidR="00FA22F4">
        <w:rPr>
          <w:rFonts w:ascii="Times New Roman" w:hAnsi="Times New Roman" w:cs="Times New Roman"/>
          <w:sz w:val="28"/>
          <w:szCs w:val="28"/>
        </w:rPr>
        <w:t>1/12/</w:t>
      </w:r>
      <w:r w:rsidR="00904497">
        <w:rPr>
          <w:rFonts w:ascii="Times New Roman" w:hAnsi="Times New Roman" w:cs="Times New Roman"/>
          <w:sz w:val="28"/>
          <w:szCs w:val="28"/>
        </w:rPr>
        <w:t xml:space="preserve">2012, n. 220, in vigore dal </w:t>
      </w:r>
      <w:r w:rsidR="000F5A0B">
        <w:rPr>
          <w:rFonts w:ascii="Times New Roman" w:hAnsi="Times New Roman" w:cs="Times New Roman"/>
          <w:sz w:val="28"/>
          <w:szCs w:val="28"/>
        </w:rPr>
        <w:t>18/6/</w:t>
      </w:r>
      <w:r w:rsidR="00724A74" w:rsidRPr="00904497">
        <w:rPr>
          <w:rFonts w:ascii="Times New Roman" w:hAnsi="Times New Roman" w:cs="Times New Roman"/>
          <w:sz w:val="28"/>
          <w:szCs w:val="28"/>
        </w:rPr>
        <w:t>2013</w:t>
      </w:r>
      <w:r>
        <w:rPr>
          <w:rFonts w:ascii="Times New Roman" w:hAnsi="Times New Roman" w:cs="Times New Roman"/>
          <w:sz w:val="28"/>
          <w:szCs w:val="28"/>
        </w:rPr>
        <w:t xml:space="preserve">, </w:t>
      </w:r>
      <w:r w:rsidR="00904497">
        <w:rPr>
          <w:rFonts w:ascii="Times New Roman" w:hAnsi="Times New Roman" w:cs="Times New Roman"/>
          <w:sz w:val="28"/>
          <w:szCs w:val="28"/>
        </w:rPr>
        <w:t>prevede espressamente che “</w:t>
      </w:r>
      <w:r w:rsidR="00724A74" w:rsidRPr="00904497">
        <w:rPr>
          <w:rFonts w:ascii="Times New Roman" w:hAnsi="Times New Roman" w:cs="Times New Roman"/>
          <w:i/>
          <w:sz w:val="28"/>
          <w:szCs w:val="28"/>
        </w:rPr>
        <w:t xml:space="preserve">Possono svolgere l'incarico di amministratore di condominio anche società di cui al titolo V del libro V del codice; in tal caso, i requisiti devono essere posseduti dai soci illimitatamente responsabili, dagli amministratori e dai dipendenti incaricati di svolgere le </w:t>
      </w:r>
      <w:r w:rsidR="00724A74" w:rsidRPr="00904497">
        <w:rPr>
          <w:rFonts w:ascii="Times New Roman" w:hAnsi="Times New Roman" w:cs="Times New Roman"/>
          <w:i/>
          <w:noProof/>
          <w:sz w:val="28"/>
          <w:szCs w:val="28"/>
          <w:lang w:eastAsia="it-IT"/>
        </w:rPr>
        <w:drawing>
          <wp:inline distT="0" distB="0" distL="0" distR="0" wp14:anchorId="4630A3B1" wp14:editId="53049125">
            <wp:extent cx="3234" cy="3233"/>
            <wp:effectExtent l="0" t="0" r="0" b="0"/>
            <wp:docPr id="14619" name="Picture 14619"/>
            <wp:cNvGraphicFramePr/>
            <a:graphic xmlns:a="http://schemas.openxmlformats.org/drawingml/2006/main">
              <a:graphicData uri="http://schemas.openxmlformats.org/drawingml/2006/picture">
                <pic:pic xmlns:pic="http://schemas.openxmlformats.org/drawingml/2006/picture">
                  <pic:nvPicPr>
                    <pic:cNvPr id="14619" name="Picture 14619"/>
                    <pic:cNvPicPr/>
                  </pic:nvPicPr>
                  <pic:blipFill>
                    <a:blip r:embed="rId4"/>
                    <a:stretch>
                      <a:fillRect/>
                    </a:stretch>
                  </pic:blipFill>
                  <pic:spPr>
                    <a:xfrm>
                      <a:off x="0" y="0"/>
                      <a:ext cx="3234" cy="3233"/>
                    </a:xfrm>
                    <a:prstGeom prst="rect">
                      <a:avLst/>
                    </a:prstGeom>
                  </pic:spPr>
                </pic:pic>
              </a:graphicData>
            </a:graphic>
          </wp:inline>
        </w:drawing>
      </w:r>
      <w:r w:rsidR="00724A74" w:rsidRPr="00904497">
        <w:rPr>
          <w:rFonts w:ascii="Times New Roman" w:hAnsi="Times New Roman" w:cs="Times New Roman"/>
          <w:i/>
          <w:sz w:val="28"/>
          <w:szCs w:val="28"/>
        </w:rPr>
        <w:t>funzioni di amministrazione dei condominii in</w:t>
      </w:r>
      <w:r w:rsidR="00904497">
        <w:rPr>
          <w:rFonts w:ascii="Times New Roman" w:hAnsi="Times New Roman" w:cs="Times New Roman"/>
          <w:i/>
          <w:sz w:val="28"/>
          <w:szCs w:val="28"/>
        </w:rPr>
        <w:t xml:space="preserve"> </w:t>
      </w:r>
      <w:r w:rsidR="00724A74" w:rsidRPr="00904497">
        <w:rPr>
          <w:rFonts w:ascii="Times New Roman" w:hAnsi="Times New Roman" w:cs="Times New Roman"/>
          <w:i/>
          <w:sz w:val="28"/>
          <w:szCs w:val="28"/>
        </w:rPr>
        <w:t>favore dei quali la società presta i servizi"</w:t>
      </w:r>
      <w:r>
        <w:rPr>
          <w:rFonts w:ascii="Times New Roman" w:hAnsi="Times New Roman" w:cs="Times New Roman"/>
          <w:sz w:val="28"/>
          <w:szCs w:val="28"/>
        </w:rPr>
        <w:t>.</w:t>
      </w:r>
    </w:p>
    <w:p w:rsidR="00724A74" w:rsidRPr="00904497" w:rsidRDefault="00D358F8" w:rsidP="00C15882">
      <w:pPr>
        <w:jc w:val="both"/>
        <w:rPr>
          <w:rFonts w:ascii="Times New Roman" w:hAnsi="Times New Roman" w:cs="Times New Roman"/>
          <w:sz w:val="28"/>
          <w:szCs w:val="28"/>
        </w:rPr>
      </w:pPr>
      <w:r>
        <w:rPr>
          <w:rFonts w:ascii="Times New Roman" w:hAnsi="Times New Roman" w:cs="Times New Roman"/>
          <w:sz w:val="28"/>
          <w:szCs w:val="28"/>
        </w:rPr>
        <w:t>Il T</w:t>
      </w:r>
      <w:r w:rsidR="00FD5272">
        <w:rPr>
          <w:rFonts w:ascii="Times New Roman" w:hAnsi="Times New Roman" w:cs="Times New Roman"/>
          <w:sz w:val="28"/>
          <w:szCs w:val="28"/>
        </w:rPr>
        <w:t>ribunale ricorda</w:t>
      </w:r>
      <w:r w:rsidR="00904497">
        <w:rPr>
          <w:rFonts w:ascii="Times New Roman" w:hAnsi="Times New Roman" w:cs="Times New Roman"/>
          <w:sz w:val="28"/>
          <w:szCs w:val="28"/>
        </w:rPr>
        <w:t xml:space="preserve"> che </w:t>
      </w:r>
      <w:r>
        <w:rPr>
          <w:rFonts w:ascii="Times New Roman" w:hAnsi="Times New Roman" w:cs="Times New Roman"/>
          <w:sz w:val="28"/>
          <w:szCs w:val="28"/>
        </w:rPr>
        <w:t>la suddetta norma ha codificato i</w:t>
      </w:r>
      <w:r w:rsidR="00FD5272">
        <w:rPr>
          <w:rFonts w:ascii="Times New Roman" w:hAnsi="Times New Roman" w:cs="Times New Roman"/>
          <w:sz w:val="28"/>
          <w:szCs w:val="28"/>
        </w:rPr>
        <w:t xml:space="preserve"> principi già emersi in precedenza ed in particolare dalla</w:t>
      </w:r>
      <w:r w:rsidR="00904497">
        <w:rPr>
          <w:rFonts w:ascii="Times New Roman" w:hAnsi="Times New Roman" w:cs="Times New Roman"/>
          <w:sz w:val="28"/>
          <w:szCs w:val="28"/>
        </w:rPr>
        <w:t xml:space="preserve"> </w:t>
      </w:r>
      <w:r w:rsidR="00FA22F4">
        <w:rPr>
          <w:rFonts w:ascii="Times New Roman" w:hAnsi="Times New Roman" w:cs="Times New Roman"/>
          <w:sz w:val="28"/>
          <w:szCs w:val="28"/>
        </w:rPr>
        <w:t xml:space="preserve">sentenza </w:t>
      </w:r>
      <w:r w:rsidR="00966E7B">
        <w:rPr>
          <w:rFonts w:ascii="Times New Roman" w:hAnsi="Times New Roman" w:cs="Times New Roman"/>
          <w:sz w:val="28"/>
          <w:szCs w:val="28"/>
        </w:rPr>
        <w:t xml:space="preserve">della Corte di Cassazione </w:t>
      </w:r>
      <w:r w:rsidR="00FD5272" w:rsidRPr="00904497">
        <w:rPr>
          <w:rFonts w:ascii="Times New Roman" w:hAnsi="Times New Roman" w:cs="Times New Roman"/>
          <w:sz w:val="28"/>
          <w:szCs w:val="28"/>
        </w:rPr>
        <w:t>n. 22840</w:t>
      </w:r>
      <w:r w:rsidR="00FA22F4">
        <w:rPr>
          <w:rFonts w:ascii="Times New Roman" w:hAnsi="Times New Roman" w:cs="Times New Roman"/>
          <w:sz w:val="28"/>
          <w:szCs w:val="28"/>
        </w:rPr>
        <w:t xml:space="preserve">/2006 (che la sentenza indica erroneamente a Sezioni Unite e del </w:t>
      </w:r>
      <w:r w:rsidR="00724A74" w:rsidRPr="00904497">
        <w:rPr>
          <w:rFonts w:ascii="Times New Roman" w:hAnsi="Times New Roman" w:cs="Times New Roman"/>
          <w:sz w:val="28"/>
          <w:szCs w:val="28"/>
        </w:rPr>
        <w:t>2010</w:t>
      </w:r>
      <w:r w:rsidR="00FA22F4">
        <w:rPr>
          <w:rFonts w:ascii="Times New Roman" w:hAnsi="Times New Roman" w:cs="Times New Roman"/>
          <w:sz w:val="28"/>
          <w:szCs w:val="28"/>
        </w:rPr>
        <w:t>)</w:t>
      </w:r>
      <w:r w:rsidR="00724A74" w:rsidRPr="00904497">
        <w:rPr>
          <w:rFonts w:ascii="Times New Roman" w:hAnsi="Times New Roman" w:cs="Times New Roman"/>
          <w:sz w:val="28"/>
          <w:szCs w:val="28"/>
        </w:rPr>
        <w:t xml:space="preserve">, </w:t>
      </w:r>
      <w:r w:rsidR="00FD5272">
        <w:rPr>
          <w:rFonts w:ascii="Times New Roman" w:hAnsi="Times New Roman" w:cs="Times New Roman"/>
          <w:sz w:val="28"/>
          <w:szCs w:val="28"/>
        </w:rPr>
        <w:t xml:space="preserve">secondo la quale </w:t>
      </w:r>
      <w:r w:rsidR="00904497">
        <w:rPr>
          <w:rFonts w:ascii="Times New Roman" w:hAnsi="Times New Roman" w:cs="Times New Roman"/>
          <w:sz w:val="28"/>
          <w:szCs w:val="28"/>
        </w:rPr>
        <w:t>“</w:t>
      </w:r>
      <w:r w:rsidR="00724A74" w:rsidRPr="00904497">
        <w:rPr>
          <w:rFonts w:ascii="Times New Roman" w:hAnsi="Times New Roman" w:cs="Times New Roman"/>
          <w:i/>
          <w:sz w:val="28"/>
          <w:szCs w:val="28"/>
        </w:rPr>
        <w:t xml:space="preserve">anche una persona giuridica può essere nominata amministratore del condominio negli edifici, posto che il rapporto di mandato istituito nei confronti delle persone suddette, quanto all'adempimento delle obbligazioni ed alla relativa imputazione della responsabilità, può essere caratterizzato dagli stessi indici di affidabilità, che contrassegnano il </w:t>
      </w:r>
      <w:r w:rsidR="00724A74" w:rsidRPr="00904497">
        <w:rPr>
          <w:rFonts w:ascii="Times New Roman" w:hAnsi="Times New Roman" w:cs="Times New Roman"/>
          <w:i/>
          <w:noProof/>
          <w:sz w:val="28"/>
          <w:szCs w:val="28"/>
          <w:lang w:eastAsia="it-IT"/>
        </w:rPr>
        <w:drawing>
          <wp:inline distT="0" distB="0" distL="0" distR="0" wp14:anchorId="462B3F28" wp14:editId="0422C172">
            <wp:extent cx="3234" cy="6467"/>
            <wp:effectExtent l="0" t="0" r="0" b="0"/>
            <wp:docPr id="14631" name="Picture 14631"/>
            <wp:cNvGraphicFramePr/>
            <a:graphic xmlns:a="http://schemas.openxmlformats.org/drawingml/2006/main">
              <a:graphicData uri="http://schemas.openxmlformats.org/drawingml/2006/picture">
                <pic:pic xmlns:pic="http://schemas.openxmlformats.org/drawingml/2006/picture">
                  <pic:nvPicPr>
                    <pic:cNvPr id="14631" name="Picture 14631"/>
                    <pic:cNvPicPr/>
                  </pic:nvPicPr>
                  <pic:blipFill>
                    <a:blip r:embed="rId5"/>
                    <a:stretch>
                      <a:fillRect/>
                    </a:stretch>
                  </pic:blipFill>
                  <pic:spPr>
                    <a:xfrm>
                      <a:off x="0" y="0"/>
                      <a:ext cx="3234" cy="6467"/>
                    </a:xfrm>
                    <a:prstGeom prst="rect">
                      <a:avLst/>
                    </a:prstGeom>
                  </pic:spPr>
                </pic:pic>
              </a:graphicData>
            </a:graphic>
          </wp:inline>
        </w:drawing>
      </w:r>
      <w:r w:rsidR="00724A74" w:rsidRPr="00904497">
        <w:rPr>
          <w:rFonts w:ascii="Times New Roman" w:hAnsi="Times New Roman" w:cs="Times New Roman"/>
          <w:i/>
          <w:sz w:val="28"/>
          <w:szCs w:val="28"/>
        </w:rPr>
        <w:t>mandato conferito ad una persona</w:t>
      </w:r>
      <w:r w:rsidR="00904497">
        <w:rPr>
          <w:rFonts w:ascii="Times New Roman" w:hAnsi="Times New Roman" w:cs="Times New Roman"/>
          <w:i/>
          <w:sz w:val="28"/>
          <w:szCs w:val="28"/>
        </w:rPr>
        <w:t xml:space="preserve"> </w:t>
      </w:r>
      <w:r w:rsidR="00724A74" w:rsidRPr="00904497">
        <w:rPr>
          <w:rFonts w:ascii="Times New Roman" w:hAnsi="Times New Roman" w:cs="Times New Roman"/>
          <w:i/>
          <w:sz w:val="28"/>
          <w:szCs w:val="28"/>
        </w:rPr>
        <w:t>fisica...</w:t>
      </w:r>
      <w:r w:rsidR="00724A74" w:rsidRPr="00904497">
        <w:rPr>
          <w:rFonts w:ascii="Times New Roman" w:hAnsi="Times New Roman" w:cs="Times New Roman"/>
          <w:i/>
          <w:noProof/>
          <w:sz w:val="28"/>
          <w:szCs w:val="28"/>
          <w:lang w:eastAsia="it-IT"/>
        </w:rPr>
        <w:drawing>
          <wp:inline distT="0" distB="0" distL="0" distR="0" wp14:anchorId="4463D2B5" wp14:editId="44974E9C">
            <wp:extent cx="90548" cy="106700"/>
            <wp:effectExtent l="0" t="0" r="0" b="0"/>
            <wp:docPr id="34948" name="Picture 34948"/>
            <wp:cNvGraphicFramePr/>
            <a:graphic xmlns:a="http://schemas.openxmlformats.org/drawingml/2006/main">
              <a:graphicData uri="http://schemas.openxmlformats.org/drawingml/2006/picture">
                <pic:pic xmlns:pic="http://schemas.openxmlformats.org/drawingml/2006/picture">
                  <pic:nvPicPr>
                    <pic:cNvPr id="34948" name="Picture 34948"/>
                    <pic:cNvPicPr/>
                  </pic:nvPicPr>
                  <pic:blipFill>
                    <a:blip r:embed="rId6"/>
                    <a:stretch>
                      <a:fillRect/>
                    </a:stretch>
                  </pic:blipFill>
                  <pic:spPr>
                    <a:xfrm>
                      <a:off x="0" y="0"/>
                      <a:ext cx="90548" cy="106700"/>
                    </a:xfrm>
                    <a:prstGeom prst="rect">
                      <a:avLst/>
                    </a:prstGeom>
                  </pic:spPr>
                </pic:pic>
              </a:graphicData>
            </a:graphic>
          </wp:inline>
        </w:drawing>
      </w:r>
    </w:p>
    <w:p w:rsidR="00904497" w:rsidRDefault="00FA22F4" w:rsidP="00C15882">
      <w:pPr>
        <w:jc w:val="both"/>
        <w:rPr>
          <w:rFonts w:ascii="Times New Roman" w:hAnsi="Times New Roman" w:cs="Times New Roman"/>
          <w:sz w:val="28"/>
          <w:szCs w:val="28"/>
        </w:rPr>
      </w:pPr>
      <w:r>
        <w:rPr>
          <w:rFonts w:ascii="Times New Roman" w:hAnsi="Times New Roman" w:cs="Times New Roman"/>
          <w:sz w:val="28"/>
          <w:szCs w:val="28"/>
        </w:rPr>
        <w:t xml:space="preserve">Il Tribunale </w:t>
      </w:r>
      <w:r w:rsidR="00FD5272">
        <w:rPr>
          <w:rFonts w:ascii="Times New Roman" w:hAnsi="Times New Roman" w:cs="Times New Roman"/>
          <w:sz w:val="28"/>
          <w:szCs w:val="28"/>
        </w:rPr>
        <w:t>riconosce che</w:t>
      </w:r>
      <w:r>
        <w:rPr>
          <w:rFonts w:ascii="Times New Roman" w:hAnsi="Times New Roman" w:cs="Times New Roman"/>
          <w:sz w:val="28"/>
          <w:szCs w:val="28"/>
        </w:rPr>
        <w:t>,</w:t>
      </w:r>
      <w:r w:rsidR="00904497">
        <w:rPr>
          <w:rFonts w:ascii="Times New Roman" w:hAnsi="Times New Roman" w:cs="Times New Roman"/>
          <w:sz w:val="28"/>
          <w:szCs w:val="28"/>
        </w:rPr>
        <w:t xml:space="preserve"> n</w:t>
      </w:r>
      <w:r w:rsidR="00724A74" w:rsidRPr="00904497">
        <w:rPr>
          <w:rFonts w:ascii="Times New Roman" w:hAnsi="Times New Roman" w:cs="Times New Roman"/>
          <w:sz w:val="28"/>
          <w:szCs w:val="28"/>
        </w:rPr>
        <w:t xml:space="preserve">el suo tenore letterale, la disposizione di cui all'art. 71 </w:t>
      </w:r>
      <w:proofErr w:type="spellStart"/>
      <w:r w:rsidR="00724A74" w:rsidRPr="00904497">
        <w:rPr>
          <w:rFonts w:ascii="Times New Roman" w:hAnsi="Times New Roman" w:cs="Times New Roman"/>
          <w:sz w:val="28"/>
          <w:szCs w:val="28"/>
        </w:rPr>
        <w:t>disp</w:t>
      </w:r>
      <w:proofErr w:type="spellEnd"/>
      <w:r w:rsidR="00724A74" w:rsidRPr="00904497">
        <w:rPr>
          <w:rFonts w:ascii="Times New Roman" w:hAnsi="Times New Roman" w:cs="Times New Roman"/>
          <w:sz w:val="28"/>
          <w:szCs w:val="28"/>
        </w:rPr>
        <w:t xml:space="preserve">. </w:t>
      </w:r>
      <w:proofErr w:type="spellStart"/>
      <w:r w:rsidR="00724A74" w:rsidRPr="00904497">
        <w:rPr>
          <w:rFonts w:ascii="Times New Roman" w:hAnsi="Times New Roman" w:cs="Times New Roman"/>
          <w:sz w:val="28"/>
          <w:szCs w:val="28"/>
        </w:rPr>
        <w:t>att</w:t>
      </w:r>
      <w:proofErr w:type="spellEnd"/>
      <w:r w:rsidR="00724A74" w:rsidRPr="00904497">
        <w:rPr>
          <w:rFonts w:ascii="Times New Roman" w:hAnsi="Times New Roman" w:cs="Times New Roman"/>
          <w:sz w:val="28"/>
          <w:szCs w:val="28"/>
        </w:rPr>
        <w:t xml:space="preserve">. c.c. si riferisce espressamente alle società di persone e di capitali con scopo lucrativo. </w:t>
      </w:r>
    </w:p>
    <w:p w:rsidR="00724A74" w:rsidRPr="00904497" w:rsidRDefault="00FD5272" w:rsidP="00C15882">
      <w:pPr>
        <w:jc w:val="both"/>
        <w:rPr>
          <w:rFonts w:ascii="Times New Roman" w:hAnsi="Times New Roman" w:cs="Times New Roman"/>
          <w:sz w:val="28"/>
          <w:szCs w:val="28"/>
        </w:rPr>
      </w:pPr>
      <w:r>
        <w:rPr>
          <w:rFonts w:ascii="Times New Roman" w:hAnsi="Times New Roman" w:cs="Times New Roman"/>
          <w:sz w:val="28"/>
          <w:szCs w:val="28"/>
        </w:rPr>
        <w:t>I giudici friulani co</w:t>
      </w:r>
      <w:r w:rsidR="00FA22F4">
        <w:rPr>
          <w:rFonts w:ascii="Times New Roman" w:hAnsi="Times New Roman" w:cs="Times New Roman"/>
          <w:sz w:val="28"/>
          <w:szCs w:val="28"/>
        </w:rPr>
        <w:t>ndividono però il pensiero del Giudice di P</w:t>
      </w:r>
      <w:r w:rsidR="00724A74" w:rsidRPr="00904497">
        <w:rPr>
          <w:rFonts w:ascii="Times New Roman" w:hAnsi="Times New Roman" w:cs="Times New Roman"/>
          <w:sz w:val="28"/>
          <w:szCs w:val="28"/>
        </w:rPr>
        <w:t>ace</w:t>
      </w:r>
      <w:r w:rsidR="00904497">
        <w:rPr>
          <w:rFonts w:ascii="Times New Roman" w:hAnsi="Times New Roman" w:cs="Times New Roman"/>
          <w:sz w:val="28"/>
          <w:szCs w:val="28"/>
        </w:rPr>
        <w:t xml:space="preserve"> di Gorizia, la cui sentenza </w:t>
      </w:r>
      <w:r>
        <w:rPr>
          <w:rFonts w:ascii="Times New Roman" w:hAnsi="Times New Roman" w:cs="Times New Roman"/>
          <w:sz w:val="28"/>
          <w:szCs w:val="28"/>
        </w:rPr>
        <w:t>era stata app</w:t>
      </w:r>
      <w:r w:rsidR="00904497">
        <w:rPr>
          <w:rFonts w:ascii="Times New Roman" w:hAnsi="Times New Roman" w:cs="Times New Roman"/>
          <w:sz w:val="28"/>
          <w:szCs w:val="28"/>
        </w:rPr>
        <w:t xml:space="preserve">ellata sul punto, </w:t>
      </w:r>
      <w:r>
        <w:rPr>
          <w:rFonts w:ascii="Times New Roman" w:hAnsi="Times New Roman" w:cs="Times New Roman"/>
          <w:sz w:val="28"/>
          <w:szCs w:val="28"/>
        </w:rPr>
        <w:t xml:space="preserve">laddove </w:t>
      </w:r>
      <w:r w:rsidR="00904497">
        <w:rPr>
          <w:rFonts w:ascii="Times New Roman" w:hAnsi="Times New Roman" w:cs="Times New Roman"/>
          <w:sz w:val="28"/>
          <w:szCs w:val="28"/>
        </w:rPr>
        <w:t>aveva</w:t>
      </w:r>
      <w:r w:rsidR="00724A74" w:rsidRPr="00904497">
        <w:rPr>
          <w:rFonts w:ascii="Times New Roman" w:hAnsi="Times New Roman" w:cs="Times New Roman"/>
          <w:sz w:val="28"/>
          <w:szCs w:val="28"/>
        </w:rPr>
        <w:t xml:space="preserve"> ritenuto di poter operare un'interpretazione estensiva </w:t>
      </w:r>
      <w:r>
        <w:rPr>
          <w:rFonts w:ascii="Times New Roman" w:hAnsi="Times New Roman" w:cs="Times New Roman"/>
          <w:sz w:val="28"/>
          <w:szCs w:val="28"/>
        </w:rPr>
        <w:t xml:space="preserve">della norma, </w:t>
      </w:r>
      <w:r w:rsidR="00724A74" w:rsidRPr="00904497">
        <w:rPr>
          <w:rFonts w:ascii="Times New Roman" w:hAnsi="Times New Roman" w:cs="Times New Roman"/>
          <w:sz w:val="28"/>
          <w:szCs w:val="28"/>
        </w:rPr>
        <w:t xml:space="preserve">al di là del limite apparente derivante dalla </w:t>
      </w:r>
      <w:r>
        <w:rPr>
          <w:rFonts w:ascii="Times New Roman" w:hAnsi="Times New Roman" w:cs="Times New Roman"/>
          <w:sz w:val="28"/>
          <w:szCs w:val="28"/>
        </w:rPr>
        <w:t xml:space="preserve">sua </w:t>
      </w:r>
      <w:r w:rsidR="00724A74" w:rsidRPr="00904497">
        <w:rPr>
          <w:rFonts w:ascii="Times New Roman" w:hAnsi="Times New Roman" w:cs="Times New Roman"/>
          <w:sz w:val="28"/>
          <w:szCs w:val="28"/>
        </w:rPr>
        <w:t>formulazione lettera</w:t>
      </w:r>
      <w:r w:rsidR="00904497">
        <w:rPr>
          <w:rFonts w:ascii="Times New Roman" w:hAnsi="Times New Roman" w:cs="Times New Roman"/>
          <w:sz w:val="28"/>
          <w:szCs w:val="28"/>
        </w:rPr>
        <w:t>le, evidenziando</w:t>
      </w:r>
      <w:r w:rsidR="00724A74" w:rsidRPr="00904497">
        <w:rPr>
          <w:rFonts w:ascii="Times New Roman" w:hAnsi="Times New Roman" w:cs="Times New Roman"/>
          <w:sz w:val="28"/>
          <w:szCs w:val="28"/>
        </w:rPr>
        <w:t xml:space="preserve"> come il fine mutualistico sia compatibile con la fornitura di servizi a</w:t>
      </w:r>
      <w:r w:rsidR="00904497">
        <w:rPr>
          <w:rFonts w:ascii="Times New Roman" w:hAnsi="Times New Roman" w:cs="Times New Roman"/>
          <w:sz w:val="28"/>
          <w:szCs w:val="28"/>
        </w:rPr>
        <w:t xml:space="preserve"> </w:t>
      </w:r>
      <w:r w:rsidR="00724A74" w:rsidRPr="00904497">
        <w:rPr>
          <w:rFonts w:ascii="Times New Roman" w:hAnsi="Times New Roman" w:cs="Times New Roman"/>
          <w:sz w:val="28"/>
          <w:szCs w:val="28"/>
        </w:rPr>
        <w:t>soggetti diversi dai propri soci.</w:t>
      </w:r>
    </w:p>
    <w:p w:rsidR="00724A74" w:rsidRPr="00904497" w:rsidRDefault="00724A74" w:rsidP="00C15882">
      <w:pPr>
        <w:jc w:val="both"/>
        <w:rPr>
          <w:rFonts w:ascii="Times New Roman" w:hAnsi="Times New Roman" w:cs="Times New Roman"/>
          <w:sz w:val="28"/>
          <w:szCs w:val="28"/>
        </w:rPr>
      </w:pPr>
      <w:r w:rsidRPr="00904497">
        <w:rPr>
          <w:rFonts w:ascii="Times New Roman" w:hAnsi="Times New Roman" w:cs="Times New Roman"/>
          <w:sz w:val="28"/>
          <w:szCs w:val="28"/>
        </w:rPr>
        <w:lastRenderedPageBreak/>
        <w:t>L'appellante</w:t>
      </w:r>
      <w:r w:rsidR="00904497">
        <w:rPr>
          <w:rFonts w:ascii="Times New Roman" w:hAnsi="Times New Roman" w:cs="Times New Roman"/>
          <w:sz w:val="28"/>
          <w:szCs w:val="28"/>
        </w:rPr>
        <w:t xml:space="preserve"> aveva </w:t>
      </w:r>
      <w:r w:rsidRPr="00904497">
        <w:rPr>
          <w:rFonts w:ascii="Times New Roman" w:hAnsi="Times New Roman" w:cs="Times New Roman"/>
          <w:sz w:val="28"/>
          <w:szCs w:val="28"/>
        </w:rPr>
        <w:t xml:space="preserve"> contesta</w:t>
      </w:r>
      <w:r w:rsidR="00904497">
        <w:rPr>
          <w:rFonts w:ascii="Times New Roman" w:hAnsi="Times New Roman" w:cs="Times New Roman"/>
          <w:sz w:val="28"/>
          <w:szCs w:val="28"/>
        </w:rPr>
        <w:t>to</w:t>
      </w:r>
      <w:r w:rsidRPr="00904497">
        <w:rPr>
          <w:rFonts w:ascii="Times New Roman" w:hAnsi="Times New Roman" w:cs="Times New Roman"/>
          <w:sz w:val="28"/>
          <w:szCs w:val="28"/>
        </w:rPr>
        <w:t xml:space="preserve"> l'interpr</w:t>
      </w:r>
      <w:r w:rsidR="00FA22F4">
        <w:rPr>
          <w:rFonts w:ascii="Times New Roman" w:hAnsi="Times New Roman" w:cs="Times New Roman"/>
          <w:sz w:val="28"/>
          <w:szCs w:val="28"/>
        </w:rPr>
        <w:t>etazione estensiva operata dal G</w:t>
      </w:r>
      <w:r w:rsidRPr="00904497">
        <w:rPr>
          <w:rFonts w:ascii="Times New Roman" w:hAnsi="Times New Roman" w:cs="Times New Roman"/>
          <w:sz w:val="28"/>
          <w:szCs w:val="28"/>
        </w:rPr>
        <w:t xml:space="preserve">iudice di </w:t>
      </w:r>
      <w:r w:rsidR="00FA22F4">
        <w:rPr>
          <w:rFonts w:ascii="Times New Roman" w:hAnsi="Times New Roman" w:cs="Times New Roman"/>
          <w:sz w:val="28"/>
          <w:szCs w:val="28"/>
        </w:rPr>
        <w:t>P</w:t>
      </w:r>
      <w:r w:rsidR="00FD5272">
        <w:rPr>
          <w:rFonts w:ascii="Times New Roman" w:hAnsi="Times New Roman" w:cs="Times New Roman"/>
          <w:sz w:val="28"/>
          <w:szCs w:val="28"/>
        </w:rPr>
        <w:t>ace</w:t>
      </w:r>
      <w:r w:rsidRPr="00904497">
        <w:rPr>
          <w:rFonts w:ascii="Times New Roman" w:hAnsi="Times New Roman" w:cs="Times New Roman"/>
          <w:sz w:val="28"/>
          <w:szCs w:val="28"/>
        </w:rPr>
        <w:t>, sostenendo che la giurisprudenza formatasi nel vigore della precedente disciplina aveva ammesso la nomina di una società quale amministratore di condominio sulla base dell'assunto ch</w:t>
      </w:r>
      <w:r w:rsidR="00904497">
        <w:rPr>
          <w:rFonts w:ascii="Times New Roman" w:hAnsi="Times New Roman" w:cs="Times New Roman"/>
          <w:sz w:val="28"/>
          <w:szCs w:val="28"/>
        </w:rPr>
        <w:t>e anche una società di persone o</w:t>
      </w:r>
      <w:r w:rsidRPr="00904497">
        <w:rPr>
          <w:rFonts w:ascii="Times New Roman" w:hAnsi="Times New Roman" w:cs="Times New Roman"/>
          <w:sz w:val="28"/>
          <w:szCs w:val="28"/>
        </w:rPr>
        <w:t xml:space="preserve"> di capitali potesse offrire garanzie adeguate in ordine all'adempimento del mandato di amministrazione e che tale garanzie fossero costituite dalla responsabilità illimitata dei soci nella prima e dal capitale sociale nell'altra; entrambe dette garanzie</w:t>
      </w:r>
      <w:r w:rsidR="00904497">
        <w:rPr>
          <w:rFonts w:ascii="Times New Roman" w:hAnsi="Times New Roman" w:cs="Times New Roman"/>
          <w:sz w:val="28"/>
          <w:szCs w:val="28"/>
        </w:rPr>
        <w:t>, a detta dell’appellante,</w:t>
      </w:r>
      <w:r w:rsidRPr="00904497">
        <w:rPr>
          <w:rFonts w:ascii="Times New Roman" w:hAnsi="Times New Roman" w:cs="Times New Roman"/>
          <w:sz w:val="28"/>
          <w:szCs w:val="28"/>
        </w:rPr>
        <w:t xml:space="preserve"> non potevano essere assicur</w:t>
      </w:r>
      <w:r w:rsidR="00904497">
        <w:rPr>
          <w:rFonts w:ascii="Times New Roman" w:hAnsi="Times New Roman" w:cs="Times New Roman"/>
          <w:sz w:val="28"/>
          <w:szCs w:val="28"/>
        </w:rPr>
        <w:t xml:space="preserve">ate dalla società cooperativa, </w:t>
      </w:r>
      <w:r w:rsidRPr="00904497">
        <w:rPr>
          <w:rFonts w:ascii="Times New Roman" w:hAnsi="Times New Roman" w:cs="Times New Roman"/>
          <w:sz w:val="28"/>
          <w:szCs w:val="28"/>
        </w:rPr>
        <w:t>nella quale la responsabilità per le obbligazioni sociali è limitata alla società e al suo patrimonio ed il capitale sociale non è determinato nella sua misura minima e risulta variabile.</w:t>
      </w:r>
    </w:p>
    <w:p w:rsidR="00CE177F" w:rsidRDefault="00563DDF" w:rsidP="00C15882">
      <w:pPr>
        <w:jc w:val="both"/>
        <w:rPr>
          <w:rFonts w:ascii="Times New Roman" w:hAnsi="Times New Roman" w:cs="Times New Roman"/>
          <w:sz w:val="28"/>
          <w:szCs w:val="28"/>
        </w:rPr>
      </w:pPr>
      <w:r>
        <w:rPr>
          <w:rFonts w:ascii="Times New Roman" w:hAnsi="Times New Roman" w:cs="Times New Roman"/>
          <w:sz w:val="28"/>
          <w:szCs w:val="28"/>
        </w:rPr>
        <w:t>Il T</w:t>
      </w:r>
      <w:r w:rsidR="00904497">
        <w:rPr>
          <w:rFonts w:ascii="Times New Roman" w:hAnsi="Times New Roman" w:cs="Times New Roman"/>
          <w:sz w:val="28"/>
          <w:szCs w:val="28"/>
        </w:rPr>
        <w:t>ribunale di Gorizia ha ricordato come l</w:t>
      </w:r>
      <w:r w:rsidR="00724A74" w:rsidRPr="00904497">
        <w:rPr>
          <w:rFonts w:ascii="Times New Roman" w:hAnsi="Times New Roman" w:cs="Times New Roman"/>
          <w:sz w:val="28"/>
          <w:szCs w:val="28"/>
        </w:rPr>
        <w:t xml:space="preserve">'orientamento giurisprudenziale </w:t>
      </w:r>
      <w:r w:rsidR="00904497">
        <w:rPr>
          <w:rFonts w:ascii="Times New Roman" w:hAnsi="Times New Roman" w:cs="Times New Roman"/>
          <w:sz w:val="28"/>
          <w:szCs w:val="28"/>
        </w:rPr>
        <w:t xml:space="preserve">della Cassazione, precedente alla riforma del condominio, </w:t>
      </w:r>
      <w:r w:rsidR="00724A74" w:rsidRPr="00904497">
        <w:rPr>
          <w:rFonts w:ascii="Times New Roman" w:hAnsi="Times New Roman" w:cs="Times New Roman"/>
          <w:sz w:val="28"/>
          <w:szCs w:val="28"/>
        </w:rPr>
        <w:t xml:space="preserve">è stato determinato soprattutto dalla </w:t>
      </w:r>
      <w:r w:rsidR="00724A74" w:rsidRPr="00904497">
        <w:rPr>
          <w:rFonts w:ascii="Times New Roman" w:hAnsi="Times New Roman" w:cs="Times New Roman"/>
          <w:noProof/>
          <w:sz w:val="28"/>
          <w:szCs w:val="28"/>
          <w:lang w:eastAsia="it-IT"/>
        </w:rPr>
        <w:drawing>
          <wp:inline distT="0" distB="0" distL="0" distR="0" wp14:anchorId="120CD1F6" wp14:editId="10DF862A">
            <wp:extent cx="3234" cy="3233"/>
            <wp:effectExtent l="0" t="0" r="0" b="0"/>
            <wp:docPr id="17541" name="Picture 17541"/>
            <wp:cNvGraphicFramePr/>
            <a:graphic xmlns:a="http://schemas.openxmlformats.org/drawingml/2006/main">
              <a:graphicData uri="http://schemas.openxmlformats.org/drawingml/2006/picture">
                <pic:pic xmlns:pic="http://schemas.openxmlformats.org/drawingml/2006/picture">
                  <pic:nvPicPr>
                    <pic:cNvPr id="17541" name="Picture 17541"/>
                    <pic:cNvPicPr/>
                  </pic:nvPicPr>
                  <pic:blipFill>
                    <a:blip r:embed="rId7"/>
                    <a:stretch>
                      <a:fillRect/>
                    </a:stretch>
                  </pic:blipFill>
                  <pic:spPr>
                    <a:xfrm>
                      <a:off x="0" y="0"/>
                      <a:ext cx="3234" cy="3233"/>
                    </a:xfrm>
                    <a:prstGeom prst="rect">
                      <a:avLst/>
                    </a:prstGeom>
                  </pic:spPr>
                </pic:pic>
              </a:graphicData>
            </a:graphic>
          </wp:inline>
        </w:drawing>
      </w:r>
      <w:r w:rsidR="00724A74" w:rsidRPr="00904497">
        <w:rPr>
          <w:rFonts w:ascii="Times New Roman" w:hAnsi="Times New Roman" w:cs="Times New Roman"/>
          <w:sz w:val="28"/>
          <w:szCs w:val="28"/>
        </w:rPr>
        <w:t>considerazione dell'evoluzione subita d</w:t>
      </w:r>
      <w:r w:rsidR="00CE177F">
        <w:rPr>
          <w:rFonts w:ascii="Times New Roman" w:hAnsi="Times New Roman" w:cs="Times New Roman"/>
          <w:sz w:val="28"/>
          <w:szCs w:val="28"/>
        </w:rPr>
        <w:t>alla figura dell'amministratore,</w:t>
      </w:r>
    </w:p>
    <w:p w:rsidR="00724A74" w:rsidRPr="00904497" w:rsidRDefault="00CE177F" w:rsidP="00C15882">
      <w:pPr>
        <w:jc w:val="both"/>
        <w:rPr>
          <w:rFonts w:ascii="Times New Roman" w:hAnsi="Times New Roman" w:cs="Times New Roman"/>
          <w:sz w:val="28"/>
          <w:szCs w:val="28"/>
        </w:rPr>
      </w:pPr>
      <w:r>
        <w:rPr>
          <w:rFonts w:ascii="Times New Roman" w:hAnsi="Times New Roman" w:cs="Times New Roman"/>
          <w:sz w:val="28"/>
          <w:szCs w:val="28"/>
        </w:rPr>
        <w:t>S</w:t>
      </w:r>
      <w:r w:rsidR="00724A74" w:rsidRPr="00904497">
        <w:rPr>
          <w:rFonts w:ascii="Times New Roman" w:hAnsi="Times New Roman" w:cs="Times New Roman"/>
          <w:sz w:val="28"/>
          <w:szCs w:val="28"/>
        </w:rPr>
        <w:t>i legge infatti nella mo</w:t>
      </w:r>
      <w:r w:rsidR="00563DDF">
        <w:rPr>
          <w:rFonts w:ascii="Times New Roman" w:hAnsi="Times New Roman" w:cs="Times New Roman"/>
          <w:sz w:val="28"/>
          <w:szCs w:val="28"/>
        </w:rPr>
        <w:t>tivazione della pronuncia della Cassazione</w:t>
      </w:r>
      <w:r>
        <w:rPr>
          <w:rFonts w:ascii="Times New Roman" w:hAnsi="Times New Roman" w:cs="Times New Roman"/>
          <w:sz w:val="28"/>
          <w:szCs w:val="28"/>
        </w:rPr>
        <w:t>,</w:t>
      </w:r>
      <w:r w:rsidR="00904497">
        <w:rPr>
          <w:rFonts w:ascii="Times New Roman" w:hAnsi="Times New Roman" w:cs="Times New Roman"/>
          <w:sz w:val="28"/>
          <w:szCs w:val="28"/>
        </w:rPr>
        <w:t xml:space="preserve"> sopra citata</w:t>
      </w:r>
      <w:r>
        <w:rPr>
          <w:rFonts w:ascii="Times New Roman" w:hAnsi="Times New Roman" w:cs="Times New Roman"/>
          <w:sz w:val="28"/>
          <w:szCs w:val="28"/>
        </w:rPr>
        <w:t>,</w:t>
      </w:r>
      <w:r w:rsidR="00904497">
        <w:rPr>
          <w:rFonts w:ascii="Times New Roman" w:hAnsi="Times New Roman" w:cs="Times New Roman"/>
          <w:sz w:val="28"/>
          <w:szCs w:val="28"/>
        </w:rPr>
        <w:t xml:space="preserve"> che “</w:t>
      </w:r>
      <w:r w:rsidR="00724A74" w:rsidRPr="00904497">
        <w:rPr>
          <w:rFonts w:ascii="Times New Roman" w:hAnsi="Times New Roman" w:cs="Times New Roman"/>
          <w:i/>
          <w:sz w:val="28"/>
          <w:szCs w:val="28"/>
        </w:rPr>
        <w:t>In tempi meno recenti, invero, l'incarico di amministratore dall</w:t>
      </w:r>
      <w:r w:rsidR="00904497">
        <w:rPr>
          <w:rFonts w:ascii="Times New Roman" w:hAnsi="Times New Roman" w:cs="Times New Roman"/>
          <w:i/>
          <w:sz w:val="28"/>
          <w:szCs w:val="28"/>
        </w:rPr>
        <w:t xml:space="preserve">'assemblea veniva conferito </w:t>
      </w:r>
      <w:r w:rsidR="00724A74" w:rsidRPr="00904497">
        <w:rPr>
          <w:rFonts w:ascii="Times New Roman" w:hAnsi="Times New Roman" w:cs="Times New Roman"/>
          <w:i/>
          <w:sz w:val="28"/>
          <w:szCs w:val="28"/>
        </w:rPr>
        <w:t>agli stessi c</w:t>
      </w:r>
      <w:r w:rsidR="00904497">
        <w:rPr>
          <w:rFonts w:ascii="Times New Roman" w:hAnsi="Times New Roman" w:cs="Times New Roman"/>
          <w:i/>
          <w:sz w:val="28"/>
          <w:szCs w:val="28"/>
        </w:rPr>
        <w:t>ondomini</w:t>
      </w:r>
      <w:r w:rsidR="00724A74" w:rsidRPr="00904497">
        <w:rPr>
          <w:rFonts w:ascii="Times New Roman" w:hAnsi="Times New Roman" w:cs="Times New Roman"/>
          <w:i/>
          <w:sz w:val="28"/>
          <w:szCs w:val="28"/>
        </w:rPr>
        <w:t xml:space="preserve"> che avessero del tempo a disposizione: di solito, gli anziani ed i pensionati. Da qualche tempo, l'incarico viene conferito a professionisti esperti in materia di condominio e in grado di assolvere alle numerose e gravi responsabilità ascritte all'amministratore dalle leggi speciali (per tutte, le norme in materia edilizia, di sicurezza degli impianti, di obblighi tributati come sostituto d'imposta). E</w:t>
      </w:r>
      <w:r w:rsidR="00904497">
        <w:rPr>
          <w:rFonts w:ascii="Times New Roman" w:hAnsi="Times New Roman" w:cs="Times New Roman"/>
          <w:i/>
          <w:sz w:val="28"/>
          <w:szCs w:val="28"/>
        </w:rPr>
        <w:t>’</w:t>
      </w:r>
      <w:r w:rsidR="00724A74" w:rsidRPr="00904497">
        <w:rPr>
          <w:rFonts w:ascii="Times New Roman" w:hAnsi="Times New Roman" w:cs="Times New Roman"/>
          <w:i/>
          <w:sz w:val="28"/>
          <w:szCs w:val="28"/>
        </w:rPr>
        <w:t xml:space="preserve"> ragionevole pensare -</w:t>
      </w:r>
      <w:r w:rsidR="00904497">
        <w:rPr>
          <w:rFonts w:ascii="Times New Roman" w:hAnsi="Times New Roman" w:cs="Times New Roman"/>
          <w:i/>
          <w:sz w:val="28"/>
          <w:szCs w:val="28"/>
        </w:rPr>
        <w:t xml:space="preserve"> </w:t>
      </w:r>
      <w:r w:rsidR="00724A74" w:rsidRPr="00904497">
        <w:rPr>
          <w:rFonts w:ascii="Times New Roman" w:hAnsi="Times New Roman" w:cs="Times New Roman"/>
          <w:i/>
          <w:sz w:val="28"/>
          <w:szCs w:val="28"/>
        </w:rPr>
        <w:t xml:space="preserve">avuto </w:t>
      </w:r>
      <w:r w:rsidR="00724A74" w:rsidRPr="00904497">
        <w:rPr>
          <w:rFonts w:ascii="Times New Roman" w:hAnsi="Times New Roman" w:cs="Times New Roman"/>
          <w:i/>
          <w:noProof/>
          <w:sz w:val="28"/>
          <w:szCs w:val="28"/>
          <w:lang w:eastAsia="it-IT"/>
        </w:rPr>
        <w:drawing>
          <wp:inline distT="0" distB="0" distL="0" distR="0" wp14:anchorId="6A2AAAC8" wp14:editId="01E6BD56">
            <wp:extent cx="3234" cy="3234"/>
            <wp:effectExtent l="0" t="0" r="0" b="0"/>
            <wp:docPr id="17544" name="Picture 17544"/>
            <wp:cNvGraphicFramePr/>
            <a:graphic xmlns:a="http://schemas.openxmlformats.org/drawingml/2006/main">
              <a:graphicData uri="http://schemas.openxmlformats.org/drawingml/2006/picture">
                <pic:pic xmlns:pic="http://schemas.openxmlformats.org/drawingml/2006/picture">
                  <pic:nvPicPr>
                    <pic:cNvPr id="17544" name="Picture 17544"/>
                    <pic:cNvPicPr/>
                  </pic:nvPicPr>
                  <pic:blipFill>
                    <a:blip r:embed="rId8"/>
                    <a:stretch>
                      <a:fillRect/>
                    </a:stretch>
                  </pic:blipFill>
                  <pic:spPr>
                    <a:xfrm>
                      <a:off x="0" y="0"/>
                      <a:ext cx="3234" cy="3234"/>
                    </a:xfrm>
                    <a:prstGeom prst="rect">
                      <a:avLst/>
                    </a:prstGeom>
                  </pic:spPr>
                </pic:pic>
              </a:graphicData>
            </a:graphic>
          </wp:inline>
        </w:drawing>
      </w:r>
      <w:r w:rsidR="00724A74" w:rsidRPr="00904497">
        <w:rPr>
          <w:rFonts w:ascii="Times New Roman" w:hAnsi="Times New Roman" w:cs="Times New Roman"/>
          <w:i/>
          <w:sz w:val="28"/>
          <w:szCs w:val="28"/>
        </w:rPr>
        <w:t>riguardo al continuo incremento dei compiti</w:t>
      </w:r>
      <w:r w:rsidR="00904497">
        <w:rPr>
          <w:rFonts w:ascii="Times New Roman" w:hAnsi="Times New Roman" w:cs="Times New Roman"/>
          <w:i/>
          <w:sz w:val="28"/>
          <w:szCs w:val="28"/>
        </w:rPr>
        <w:t xml:space="preserve"> </w:t>
      </w:r>
      <w:r w:rsidR="00724A74" w:rsidRPr="00904497">
        <w:rPr>
          <w:rFonts w:ascii="Times New Roman" w:hAnsi="Times New Roman" w:cs="Times New Roman"/>
          <w:i/>
          <w:sz w:val="28"/>
          <w:szCs w:val="28"/>
        </w:rPr>
        <w:t>- che questi possano venire assolti in modo migliore dalle società (di servizi), che nel loro ambito annoverano specialisti nei diversi rami</w:t>
      </w:r>
      <w:r w:rsidR="00724A74" w:rsidRPr="00904497">
        <w:rPr>
          <w:rFonts w:ascii="Times New Roman" w:hAnsi="Times New Roman" w:cs="Times New Roman"/>
          <w:sz w:val="28"/>
          <w:szCs w:val="28"/>
        </w:rPr>
        <w:t>"'.</w:t>
      </w:r>
    </w:p>
    <w:p w:rsidR="00904497" w:rsidRDefault="00904497" w:rsidP="00C15882">
      <w:pPr>
        <w:jc w:val="both"/>
        <w:rPr>
          <w:rFonts w:ascii="Times New Roman" w:hAnsi="Times New Roman" w:cs="Times New Roman"/>
          <w:sz w:val="28"/>
          <w:szCs w:val="28"/>
        </w:rPr>
      </w:pPr>
      <w:r>
        <w:rPr>
          <w:rFonts w:ascii="Times New Roman" w:hAnsi="Times New Roman" w:cs="Times New Roman"/>
          <w:sz w:val="28"/>
          <w:szCs w:val="28"/>
        </w:rPr>
        <w:t>A giudizio del Tribunale, l</w:t>
      </w:r>
      <w:r w:rsidR="00724A74" w:rsidRPr="00904497">
        <w:rPr>
          <w:rFonts w:ascii="Times New Roman" w:hAnsi="Times New Roman" w:cs="Times New Roman"/>
          <w:sz w:val="28"/>
          <w:szCs w:val="28"/>
        </w:rPr>
        <w:t xml:space="preserve">'affermazione dell'appellante secondo cui il capitale sociale, predeterminato nelle società di capitali in misura minima, costituirebbe garanzia diretta per i creditori sociali, </w:t>
      </w:r>
      <w:r w:rsidR="00563DDF">
        <w:rPr>
          <w:rFonts w:ascii="Times New Roman" w:hAnsi="Times New Roman" w:cs="Times New Roman"/>
          <w:sz w:val="28"/>
          <w:szCs w:val="28"/>
        </w:rPr>
        <w:t>“</w:t>
      </w:r>
      <w:r w:rsidR="00724A74" w:rsidRPr="00563DDF">
        <w:rPr>
          <w:rFonts w:ascii="Times New Roman" w:hAnsi="Times New Roman" w:cs="Times New Roman"/>
          <w:i/>
          <w:sz w:val="28"/>
          <w:szCs w:val="28"/>
        </w:rPr>
        <w:t xml:space="preserve">appare ampiamente </w:t>
      </w:r>
      <w:r w:rsidR="00724A74" w:rsidRPr="00563DDF">
        <w:rPr>
          <w:rFonts w:ascii="Times New Roman" w:hAnsi="Times New Roman" w:cs="Times New Roman"/>
          <w:i/>
          <w:noProof/>
          <w:sz w:val="28"/>
          <w:szCs w:val="28"/>
          <w:lang w:eastAsia="it-IT"/>
        </w:rPr>
        <w:drawing>
          <wp:inline distT="0" distB="0" distL="0" distR="0" wp14:anchorId="0BFA3754" wp14:editId="19295601">
            <wp:extent cx="6468" cy="6467"/>
            <wp:effectExtent l="0" t="0" r="0" b="0"/>
            <wp:docPr id="17547" name="Picture 17547"/>
            <wp:cNvGraphicFramePr/>
            <a:graphic xmlns:a="http://schemas.openxmlformats.org/drawingml/2006/main">
              <a:graphicData uri="http://schemas.openxmlformats.org/drawingml/2006/picture">
                <pic:pic xmlns:pic="http://schemas.openxmlformats.org/drawingml/2006/picture">
                  <pic:nvPicPr>
                    <pic:cNvPr id="17547" name="Picture 17547"/>
                    <pic:cNvPicPr/>
                  </pic:nvPicPr>
                  <pic:blipFill>
                    <a:blip r:embed="rId9"/>
                    <a:stretch>
                      <a:fillRect/>
                    </a:stretch>
                  </pic:blipFill>
                  <pic:spPr>
                    <a:xfrm>
                      <a:off x="0" y="0"/>
                      <a:ext cx="6468" cy="6467"/>
                    </a:xfrm>
                    <a:prstGeom prst="rect">
                      <a:avLst/>
                    </a:prstGeom>
                  </pic:spPr>
                </pic:pic>
              </a:graphicData>
            </a:graphic>
          </wp:inline>
        </w:drawing>
      </w:r>
      <w:r w:rsidR="00724A74" w:rsidRPr="00563DDF">
        <w:rPr>
          <w:rFonts w:ascii="Times New Roman" w:hAnsi="Times New Roman" w:cs="Times New Roman"/>
          <w:i/>
          <w:sz w:val="28"/>
          <w:szCs w:val="28"/>
        </w:rPr>
        <w:t>superata nell'elaborazione dottrinale e giurisprudenziale, che correttamente ha sottolineato come la citata garanzia è fornita dall'entità reale rappresentata dal patrimonio della società, ai sensi dell'art.</w:t>
      </w:r>
      <w:r w:rsidRPr="00563DDF">
        <w:rPr>
          <w:rFonts w:ascii="Times New Roman" w:hAnsi="Times New Roman" w:cs="Times New Roman"/>
          <w:i/>
          <w:sz w:val="28"/>
          <w:szCs w:val="28"/>
        </w:rPr>
        <w:t xml:space="preserve"> </w:t>
      </w:r>
      <w:r w:rsidR="00724A74" w:rsidRPr="00563DDF">
        <w:rPr>
          <w:rFonts w:ascii="Times New Roman" w:hAnsi="Times New Roman" w:cs="Times New Roman"/>
          <w:i/>
          <w:sz w:val="28"/>
          <w:szCs w:val="28"/>
        </w:rPr>
        <w:t>2740 c.c., mentre il capitale sociale assolve principalmente alla funzione di creare per i soci un vincolo al mantenimento di determinate entità patrimoniali nella società e di determinare la misura della</w:t>
      </w:r>
      <w:r w:rsidR="00724A74" w:rsidRPr="00563DDF">
        <w:rPr>
          <w:rFonts w:ascii="Times New Roman" w:hAnsi="Times New Roman" w:cs="Times New Roman"/>
          <w:i/>
          <w:noProof/>
          <w:sz w:val="28"/>
          <w:szCs w:val="28"/>
          <w:lang w:eastAsia="it-IT"/>
        </w:rPr>
        <w:drawing>
          <wp:inline distT="0" distB="0" distL="0" distR="0" wp14:anchorId="37E1306E" wp14:editId="550BCEB7">
            <wp:extent cx="3233" cy="3233"/>
            <wp:effectExtent l="0" t="0" r="0" b="0"/>
            <wp:docPr id="17548" name="Picture 17548"/>
            <wp:cNvGraphicFramePr/>
            <a:graphic xmlns:a="http://schemas.openxmlformats.org/drawingml/2006/main">
              <a:graphicData uri="http://schemas.openxmlformats.org/drawingml/2006/picture">
                <pic:pic xmlns:pic="http://schemas.openxmlformats.org/drawingml/2006/picture">
                  <pic:nvPicPr>
                    <pic:cNvPr id="17548" name="Picture 17548"/>
                    <pic:cNvPicPr/>
                  </pic:nvPicPr>
                  <pic:blipFill>
                    <a:blip r:embed="rId10"/>
                    <a:stretch>
                      <a:fillRect/>
                    </a:stretch>
                  </pic:blipFill>
                  <pic:spPr>
                    <a:xfrm>
                      <a:off x="0" y="0"/>
                      <a:ext cx="3233" cy="3233"/>
                    </a:xfrm>
                    <a:prstGeom prst="rect">
                      <a:avLst/>
                    </a:prstGeom>
                  </pic:spPr>
                </pic:pic>
              </a:graphicData>
            </a:graphic>
          </wp:inline>
        </w:drawing>
      </w:r>
      <w:r w:rsidRPr="00563DDF">
        <w:rPr>
          <w:rFonts w:ascii="Times New Roman" w:hAnsi="Times New Roman" w:cs="Times New Roman"/>
          <w:i/>
          <w:sz w:val="28"/>
          <w:szCs w:val="28"/>
        </w:rPr>
        <w:t xml:space="preserve"> </w:t>
      </w:r>
      <w:r w:rsidR="00724A74" w:rsidRPr="00563DDF">
        <w:rPr>
          <w:rFonts w:ascii="Times New Roman" w:hAnsi="Times New Roman" w:cs="Times New Roman"/>
          <w:i/>
          <w:sz w:val="28"/>
          <w:szCs w:val="28"/>
        </w:rPr>
        <w:t>partecipazione dei soci nella vita sociale</w:t>
      </w:r>
      <w:r w:rsidR="00563DDF">
        <w:rPr>
          <w:rFonts w:ascii="Times New Roman" w:hAnsi="Times New Roman" w:cs="Times New Roman"/>
          <w:sz w:val="28"/>
          <w:szCs w:val="28"/>
        </w:rPr>
        <w:t>”</w:t>
      </w:r>
      <w:r w:rsidR="00724A74" w:rsidRPr="00904497">
        <w:rPr>
          <w:rFonts w:ascii="Times New Roman" w:hAnsi="Times New Roman" w:cs="Times New Roman"/>
          <w:sz w:val="28"/>
          <w:szCs w:val="28"/>
        </w:rPr>
        <w:t xml:space="preserve">. </w:t>
      </w:r>
    </w:p>
    <w:p w:rsidR="00B6520B" w:rsidRDefault="00B6520B" w:rsidP="00C15882">
      <w:pPr>
        <w:jc w:val="both"/>
        <w:rPr>
          <w:rFonts w:ascii="Times New Roman" w:hAnsi="Times New Roman" w:cs="Times New Roman"/>
          <w:sz w:val="28"/>
          <w:szCs w:val="28"/>
        </w:rPr>
      </w:pPr>
      <w:r>
        <w:rPr>
          <w:rFonts w:ascii="Times New Roman" w:hAnsi="Times New Roman" w:cs="Times New Roman"/>
          <w:sz w:val="28"/>
          <w:szCs w:val="28"/>
        </w:rPr>
        <w:t>Voglio ricordare che ai sensi dell’art. 2518 c.c. per le obbliga</w:t>
      </w:r>
      <w:r w:rsidR="00563DDF">
        <w:rPr>
          <w:rFonts w:ascii="Times New Roman" w:hAnsi="Times New Roman" w:cs="Times New Roman"/>
          <w:sz w:val="28"/>
          <w:szCs w:val="28"/>
        </w:rPr>
        <w:t>z</w:t>
      </w:r>
      <w:r>
        <w:rPr>
          <w:rFonts w:ascii="Times New Roman" w:hAnsi="Times New Roman" w:cs="Times New Roman"/>
          <w:sz w:val="28"/>
          <w:szCs w:val="28"/>
        </w:rPr>
        <w:t xml:space="preserve">ioni sociali </w:t>
      </w:r>
      <w:r w:rsidR="00563DDF">
        <w:rPr>
          <w:rFonts w:ascii="Times New Roman" w:hAnsi="Times New Roman" w:cs="Times New Roman"/>
          <w:sz w:val="28"/>
          <w:szCs w:val="28"/>
        </w:rPr>
        <w:t xml:space="preserve">delle società cooperative </w:t>
      </w:r>
      <w:r>
        <w:rPr>
          <w:rFonts w:ascii="Times New Roman" w:hAnsi="Times New Roman" w:cs="Times New Roman"/>
          <w:sz w:val="28"/>
          <w:szCs w:val="28"/>
        </w:rPr>
        <w:t>risponde soltanto la società con il</w:t>
      </w:r>
      <w:r w:rsidR="00563DDF">
        <w:rPr>
          <w:rFonts w:ascii="Times New Roman" w:hAnsi="Times New Roman" w:cs="Times New Roman"/>
          <w:sz w:val="28"/>
          <w:szCs w:val="28"/>
        </w:rPr>
        <w:t xml:space="preserve"> suo patrimonio e mai, quindi, i soci.</w:t>
      </w:r>
    </w:p>
    <w:p w:rsidR="00904497" w:rsidRDefault="00563DDF" w:rsidP="00C15882">
      <w:pPr>
        <w:jc w:val="both"/>
        <w:rPr>
          <w:rFonts w:ascii="Times New Roman" w:hAnsi="Times New Roman" w:cs="Times New Roman"/>
          <w:sz w:val="28"/>
          <w:szCs w:val="28"/>
        </w:rPr>
      </w:pPr>
      <w:r>
        <w:rPr>
          <w:rFonts w:ascii="Times New Roman" w:hAnsi="Times New Roman" w:cs="Times New Roman"/>
          <w:sz w:val="28"/>
          <w:szCs w:val="28"/>
        </w:rPr>
        <w:t>Il T</w:t>
      </w:r>
      <w:r w:rsidR="00904497">
        <w:rPr>
          <w:rFonts w:ascii="Times New Roman" w:hAnsi="Times New Roman" w:cs="Times New Roman"/>
          <w:sz w:val="28"/>
          <w:szCs w:val="28"/>
        </w:rPr>
        <w:t xml:space="preserve">ribunale prosegue con la considerazione </w:t>
      </w:r>
      <w:r w:rsidR="00724A74" w:rsidRPr="00904497">
        <w:rPr>
          <w:rFonts w:ascii="Times New Roman" w:hAnsi="Times New Roman" w:cs="Times New Roman"/>
          <w:sz w:val="28"/>
          <w:szCs w:val="28"/>
        </w:rPr>
        <w:t>che nelle società cooperative</w:t>
      </w:r>
      <w:r>
        <w:rPr>
          <w:rFonts w:ascii="Times New Roman" w:hAnsi="Times New Roman" w:cs="Times New Roman"/>
          <w:sz w:val="28"/>
          <w:szCs w:val="28"/>
        </w:rPr>
        <w:t>,</w:t>
      </w:r>
      <w:r w:rsidR="00724A74" w:rsidRPr="00904497">
        <w:rPr>
          <w:rFonts w:ascii="Times New Roman" w:hAnsi="Times New Roman" w:cs="Times New Roman"/>
          <w:sz w:val="28"/>
          <w:szCs w:val="28"/>
        </w:rPr>
        <w:t xml:space="preserve"> al capitale variabile ed all'inesistenza di un minimo legale</w:t>
      </w:r>
      <w:r>
        <w:rPr>
          <w:rFonts w:ascii="Times New Roman" w:hAnsi="Times New Roman" w:cs="Times New Roman"/>
          <w:sz w:val="28"/>
          <w:szCs w:val="28"/>
        </w:rPr>
        <w:t>,</w:t>
      </w:r>
      <w:r w:rsidR="00724A74" w:rsidRPr="00904497">
        <w:rPr>
          <w:rFonts w:ascii="Times New Roman" w:hAnsi="Times New Roman" w:cs="Times New Roman"/>
          <w:sz w:val="28"/>
          <w:szCs w:val="28"/>
        </w:rPr>
        <w:t xml:space="preserve"> fanno da contraltare altre misure di protezione del patrimonio sociale, unica garanzia delle ragioni creditorie. </w:t>
      </w:r>
    </w:p>
    <w:p w:rsidR="00904497" w:rsidRDefault="00724A74" w:rsidP="00C15882">
      <w:pPr>
        <w:jc w:val="both"/>
        <w:rPr>
          <w:rFonts w:ascii="Times New Roman" w:hAnsi="Times New Roman" w:cs="Times New Roman"/>
          <w:sz w:val="28"/>
          <w:szCs w:val="28"/>
        </w:rPr>
      </w:pPr>
      <w:r w:rsidRPr="00904497">
        <w:rPr>
          <w:rFonts w:ascii="Times New Roman" w:hAnsi="Times New Roman" w:cs="Times New Roman"/>
          <w:sz w:val="28"/>
          <w:szCs w:val="28"/>
        </w:rPr>
        <w:t>Infatti, l'art. 2545-quater c.c. prevede, per qualsiasi tipologia di cooperativa, l'obbligo di accantonamento alla ri</w:t>
      </w:r>
      <w:r w:rsidR="00563DDF">
        <w:rPr>
          <w:rFonts w:ascii="Times New Roman" w:hAnsi="Times New Roman" w:cs="Times New Roman"/>
          <w:sz w:val="28"/>
          <w:szCs w:val="28"/>
        </w:rPr>
        <w:t>serva legale di almeno il 30 per cento</w:t>
      </w:r>
      <w:r w:rsidR="00904497">
        <w:rPr>
          <w:rFonts w:ascii="Times New Roman" w:hAnsi="Times New Roman" w:cs="Times New Roman"/>
          <w:sz w:val="28"/>
          <w:szCs w:val="28"/>
        </w:rPr>
        <w:t xml:space="preserve"> </w:t>
      </w:r>
      <w:r w:rsidRPr="00904497">
        <w:rPr>
          <w:rFonts w:ascii="Times New Roman" w:hAnsi="Times New Roman" w:cs="Times New Roman"/>
          <w:sz w:val="28"/>
          <w:szCs w:val="28"/>
        </w:rPr>
        <w:t xml:space="preserve">degli utili netti annuali, </w:t>
      </w:r>
      <w:r w:rsidRPr="00904497">
        <w:rPr>
          <w:rFonts w:ascii="Times New Roman" w:hAnsi="Times New Roman" w:cs="Times New Roman"/>
          <w:sz w:val="28"/>
          <w:szCs w:val="28"/>
        </w:rPr>
        <w:lastRenderedPageBreak/>
        <w:t>obbligo</w:t>
      </w:r>
      <w:r w:rsidR="00440660">
        <w:rPr>
          <w:rFonts w:ascii="Times New Roman" w:hAnsi="Times New Roman" w:cs="Times New Roman"/>
          <w:sz w:val="28"/>
          <w:szCs w:val="28"/>
        </w:rPr>
        <w:t>, precisa il Tribunale,</w:t>
      </w:r>
      <w:r w:rsidRPr="00904497">
        <w:rPr>
          <w:rFonts w:ascii="Times New Roman" w:hAnsi="Times New Roman" w:cs="Times New Roman"/>
          <w:sz w:val="28"/>
          <w:szCs w:val="28"/>
        </w:rPr>
        <w:t xml:space="preserve"> che permane anche quando la riserva abbia raggiunto il quinto del capitale sociale.</w:t>
      </w:r>
    </w:p>
    <w:p w:rsidR="00724A74" w:rsidRPr="00904497" w:rsidRDefault="00724A74" w:rsidP="00C15882">
      <w:pPr>
        <w:jc w:val="both"/>
        <w:rPr>
          <w:rFonts w:ascii="Times New Roman" w:hAnsi="Times New Roman" w:cs="Times New Roman"/>
          <w:sz w:val="28"/>
          <w:szCs w:val="28"/>
        </w:rPr>
      </w:pPr>
      <w:r w:rsidRPr="00904497">
        <w:rPr>
          <w:rFonts w:ascii="Times New Roman" w:hAnsi="Times New Roman" w:cs="Times New Roman"/>
          <w:sz w:val="28"/>
          <w:szCs w:val="28"/>
        </w:rPr>
        <w:t xml:space="preserve">Ancora, </w:t>
      </w:r>
      <w:r w:rsidR="00904497">
        <w:rPr>
          <w:rFonts w:ascii="Times New Roman" w:hAnsi="Times New Roman" w:cs="Times New Roman"/>
          <w:sz w:val="28"/>
          <w:szCs w:val="28"/>
        </w:rPr>
        <w:t>“</w:t>
      </w:r>
      <w:r w:rsidRPr="00904497">
        <w:rPr>
          <w:rFonts w:ascii="Times New Roman" w:hAnsi="Times New Roman" w:cs="Times New Roman"/>
          <w:i/>
          <w:sz w:val="28"/>
          <w:szCs w:val="28"/>
        </w:rPr>
        <w:t>la distribuzione di utili e riserve disponibili richiede che il rapporto tra patrimonio netto e complessivo indebitamento della società sia superiore ad un quarto; si consideri, ancora che le società cooperative sono sottoposte al controllo dell'autorità di vigilanza</w:t>
      </w:r>
      <w:r w:rsidR="00904497">
        <w:rPr>
          <w:rFonts w:ascii="Times New Roman" w:hAnsi="Times New Roman" w:cs="Times New Roman"/>
          <w:sz w:val="28"/>
          <w:szCs w:val="28"/>
        </w:rPr>
        <w:t>”</w:t>
      </w:r>
      <w:r w:rsidRPr="00904497">
        <w:rPr>
          <w:rFonts w:ascii="Times New Roman" w:hAnsi="Times New Roman" w:cs="Times New Roman"/>
          <w:sz w:val="28"/>
          <w:szCs w:val="28"/>
        </w:rPr>
        <w:t>.</w:t>
      </w:r>
    </w:p>
    <w:p w:rsidR="00724A74" w:rsidRPr="00904497" w:rsidRDefault="00724A74" w:rsidP="00C15882">
      <w:pPr>
        <w:jc w:val="both"/>
        <w:rPr>
          <w:rFonts w:ascii="Times New Roman" w:hAnsi="Times New Roman" w:cs="Times New Roman"/>
          <w:sz w:val="28"/>
          <w:szCs w:val="28"/>
        </w:rPr>
      </w:pPr>
      <w:r w:rsidRPr="00904497">
        <w:rPr>
          <w:rFonts w:ascii="Times New Roman" w:hAnsi="Times New Roman" w:cs="Times New Roman"/>
          <w:noProof/>
          <w:sz w:val="28"/>
          <w:szCs w:val="28"/>
          <w:lang w:eastAsia="it-IT"/>
        </w:rPr>
        <w:drawing>
          <wp:anchor distT="0" distB="0" distL="114300" distR="114300" simplePos="0" relativeHeight="251665408" behindDoc="0" locked="0" layoutInCell="1" allowOverlap="0" wp14:anchorId="41062BC1" wp14:editId="24C96CD2">
            <wp:simplePos x="0" y="0"/>
            <wp:positionH relativeFrom="margin">
              <wp:posOffset>5953525</wp:posOffset>
            </wp:positionH>
            <wp:positionV relativeFrom="paragraph">
              <wp:posOffset>398726</wp:posOffset>
            </wp:positionV>
            <wp:extent cx="3234" cy="3233"/>
            <wp:effectExtent l="0" t="0" r="0" b="0"/>
            <wp:wrapSquare wrapText="bothSides"/>
            <wp:docPr id="19778" name="Picture 19778"/>
            <wp:cNvGraphicFramePr/>
            <a:graphic xmlns:a="http://schemas.openxmlformats.org/drawingml/2006/main">
              <a:graphicData uri="http://schemas.openxmlformats.org/drawingml/2006/picture">
                <pic:pic xmlns:pic="http://schemas.openxmlformats.org/drawingml/2006/picture">
                  <pic:nvPicPr>
                    <pic:cNvPr id="19778" name="Picture 19778"/>
                    <pic:cNvPicPr/>
                  </pic:nvPicPr>
                  <pic:blipFill>
                    <a:blip r:embed="rId11"/>
                    <a:stretch>
                      <a:fillRect/>
                    </a:stretch>
                  </pic:blipFill>
                  <pic:spPr>
                    <a:xfrm>
                      <a:off x="0" y="0"/>
                      <a:ext cx="3234" cy="3233"/>
                    </a:xfrm>
                    <a:prstGeom prst="rect">
                      <a:avLst/>
                    </a:prstGeom>
                  </pic:spPr>
                </pic:pic>
              </a:graphicData>
            </a:graphic>
          </wp:anchor>
        </w:drawing>
      </w:r>
      <w:r w:rsidRPr="00904497">
        <w:rPr>
          <w:rFonts w:ascii="Times New Roman" w:hAnsi="Times New Roman" w:cs="Times New Roman"/>
          <w:noProof/>
          <w:sz w:val="28"/>
          <w:szCs w:val="28"/>
          <w:lang w:eastAsia="it-IT"/>
        </w:rPr>
        <w:drawing>
          <wp:anchor distT="0" distB="0" distL="114300" distR="114300" simplePos="0" relativeHeight="251666432" behindDoc="0" locked="0" layoutInCell="1" allowOverlap="0" wp14:anchorId="5E6088BB" wp14:editId="386A62F9">
            <wp:simplePos x="0" y="0"/>
            <wp:positionH relativeFrom="margin">
              <wp:posOffset>5950291</wp:posOffset>
            </wp:positionH>
            <wp:positionV relativeFrom="paragraph">
              <wp:posOffset>993656</wp:posOffset>
            </wp:positionV>
            <wp:extent cx="3234" cy="3233"/>
            <wp:effectExtent l="0" t="0" r="0" b="0"/>
            <wp:wrapSquare wrapText="bothSides"/>
            <wp:docPr id="19779" name="Picture 19779"/>
            <wp:cNvGraphicFramePr/>
            <a:graphic xmlns:a="http://schemas.openxmlformats.org/drawingml/2006/main">
              <a:graphicData uri="http://schemas.openxmlformats.org/drawingml/2006/picture">
                <pic:pic xmlns:pic="http://schemas.openxmlformats.org/drawingml/2006/picture">
                  <pic:nvPicPr>
                    <pic:cNvPr id="19779" name="Picture 19779"/>
                    <pic:cNvPicPr/>
                  </pic:nvPicPr>
                  <pic:blipFill>
                    <a:blip r:embed="rId12"/>
                    <a:stretch>
                      <a:fillRect/>
                    </a:stretch>
                  </pic:blipFill>
                  <pic:spPr>
                    <a:xfrm>
                      <a:off x="0" y="0"/>
                      <a:ext cx="3234" cy="3233"/>
                    </a:xfrm>
                    <a:prstGeom prst="rect">
                      <a:avLst/>
                    </a:prstGeom>
                  </pic:spPr>
                </pic:pic>
              </a:graphicData>
            </a:graphic>
          </wp:anchor>
        </w:drawing>
      </w:r>
      <w:r w:rsidRPr="00904497">
        <w:rPr>
          <w:rFonts w:ascii="Times New Roman" w:hAnsi="Times New Roman" w:cs="Times New Roman"/>
          <w:noProof/>
          <w:sz w:val="28"/>
          <w:szCs w:val="28"/>
          <w:lang w:eastAsia="it-IT"/>
        </w:rPr>
        <w:drawing>
          <wp:anchor distT="0" distB="0" distL="114300" distR="114300" simplePos="0" relativeHeight="251667456" behindDoc="0" locked="0" layoutInCell="1" allowOverlap="0" wp14:anchorId="6463B9A8" wp14:editId="60D63BA5">
            <wp:simplePos x="0" y="0"/>
            <wp:positionH relativeFrom="margin">
              <wp:posOffset>5953525</wp:posOffset>
            </wp:positionH>
            <wp:positionV relativeFrom="paragraph">
              <wp:posOffset>1016289</wp:posOffset>
            </wp:positionV>
            <wp:extent cx="3234" cy="3233"/>
            <wp:effectExtent l="0" t="0" r="0" b="0"/>
            <wp:wrapSquare wrapText="bothSides"/>
            <wp:docPr id="19780" name="Picture 19780"/>
            <wp:cNvGraphicFramePr/>
            <a:graphic xmlns:a="http://schemas.openxmlformats.org/drawingml/2006/main">
              <a:graphicData uri="http://schemas.openxmlformats.org/drawingml/2006/picture">
                <pic:pic xmlns:pic="http://schemas.openxmlformats.org/drawingml/2006/picture">
                  <pic:nvPicPr>
                    <pic:cNvPr id="19780" name="Picture 19780"/>
                    <pic:cNvPicPr/>
                  </pic:nvPicPr>
                  <pic:blipFill>
                    <a:blip r:embed="rId7"/>
                    <a:stretch>
                      <a:fillRect/>
                    </a:stretch>
                  </pic:blipFill>
                  <pic:spPr>
                    <a:xfrm>
                      <a:off x="0" y="0"/>
                      <a:ext cx="3234" cy="3233"/>
                    </a:xfrm>
                    <a:prstGeom prst="rect">
                      <a:avLst/>
                    </a:prstGeom>
                  </pic:spPr>
                </pic:pic>
              </a:graphicData>
            </a:graphic>
          </wp:anchor>
        </w:drawing>
      </w:r>
      <w:r w:rsidRPr="00904497">
        <w:rPr>
          <w:rFonts w:ascii="Times New Roman" w:hAnsi="Times New Roman" w:cs="Times New Roman"/>
          <w:noProof/>
          <w:sz w:val="28"/>
          <w:szCs w:val="28"/>
          <w:lang w:eastAsia="it-IT"/>
        </w:rPr>
        <w:drawing>
          <wp:anchor distT="0" distB="0" distL="114300" distR="114300" simplePos="0" relativeHeight="251668480" behindDoc="0" locked="0" layoutInCell="1" allowOverlap="0" wp14:anchorId="15BB0C13" wp14:editId="43CAF44B">
            <wp:simplePos x="0" y="0"/>
            <wp:positionH relativeFrom="margin">
              <wp:posOffset>5953525</wp:posOffset>
            </wp:positionH>
            <wp:positionV relativeFrom="paragraph">
              <wp:posOffset>1029222</wp:posOffset>
            </wp:positionV>
            <wp:extent cx="3234" cy="6467"/>
            <wp:effectExtent l="0" t="0" r="0" b="0"/>
            <wp:wrapSquare wrapText="bothSides"/>
            <wp:docPr id="19781" name="Picture 19781"/>
            <wp:cNvGraphicFramePr/>
            <a:graphic xmlns:a="http://schemas.openxmlformats.org/drawingml/2006/main">
              <a:graphicData uri="http://schemas.openxmlformats.org/drawingml/2006/picture">
                <pic:pic xmlns:pic="http://schemas.openxmlformats.org/drawingml/2006/picture">
                  <pic:nvPicPr>
                    <pic:cNvPr id="19781" name="Picture 19781"/>
                    <pic:cNvPicPr/>
                  </pic:nvPicPr>
                  <pic:blipFill>
                    <a:blip r:embed="rId13"/>
                    <a:stretch>
                      <a:fillRect/>
                    </a:stretch>
                  </pic:blipFill>
                  <pic:spPr>
                    <a:xfrm>
                      <a:off x="0" y="0"/>
                      <a:ext cx="3234" cy="6467"/>
                    </a:xfrm>
                    <a:prstGeom prst="rect">
                      <a:avLst/>
                    </a:prstGeom>
                  </pic:spPr>
                </pic:pic>
              </a:graphicData>
            </a:graphic>
          </wp:anchor>
        </w:drawing>
      </w:r>
      <w:r w:rsidR="00904497">
        <w:rPr>
          <w:rFonts w:ascii="Times New Roman" w:hAnsi="Times New Roman" w:cs="Times New Roman"/>
          <w:sz w:val="28"/>
          <w:szCs w:val="28"/>
        </w:rPr>
        <w:t xml:space="preserve">Sempre secondo il Tribunale </w:t>
      </w:r>
      <w:r w:rsidR="00440660">
        <w:rPr>
          <w:rFonts w:ascii="Times New Roman" w:hAnsi="Times New Roman" w:cs="Times New Roman"/>
          <w:sz w:val="28"/>
          <w:szCs w:val="28"/>
        </w:rPr>
        <w:t xml:space="preserve">di Gorizia </w:t>
      </w:r>
      <w:r w:rsidR="00904497">
        <w:rPr>
          <w:rFonts w:ascii="Times New Roman" w:hAnsi="Times New Roman" w:cs="Times New Roman"/>
          <w:sz w:val="28"/>
          <w:szCs w:val="28"/>
        </w:rPr>
        <w:t>d</w:t>
      </w:r>
      <w:r w:rsidRPr="00904497">
        <w:rPr>
          <w:rFonts w:ascii="Times New Roman" w:hAnsi="Times New Roman" w:cs="Times New Roman"/>
          <w:sz w:val="28"/>
          <w:szCs w:val="28"/>
        </w:rPr>
        <w:t>eve poi teners</w:t>
      </w:r>
      <w:r w:rsidR="00440660">
        <w:rPr>
          <w:rFonts w:ascii="Times New Roman" w:hAnsi="Times New Roman" w:cs="Times New Roman"/>
          <w:sz w:val="28"/>
          <w:szCs w:val="28"/>
        </w:rPr>
        <w:t>i conto che la successiva L. 14/1/</w:t>
      </w:r>
      <w:r w:rsidRPr="00904497">
        <w:rPr>
          <w:rFonts w:ascii="Times New Roman" w:hAnsi="Times New Roman" w:cs="Times New Roman"/>
          <w:sz w:val="28"/>
          <w:szCs w:val="28"/>
        </w:rPr>
        <w:t xml:space="preserve">2013 n. 4, sulle professioni non organizzate in ordini e collegi, tra le quali pacificamente rientra quella di amministratore, dispone, all'art. </w:t>
      </w:r>
      <w:r w:rsidR="00904497">
        <w:rPr>
          <w:rFonts w:ascii="Times New Roman" w:hAnsi="Times New Roman" w:cs="Times New Roman"/>
          <w:sz w:val="28"/>
          <w:szCs w:val="28"/>
        </w:rPr>
        <w:t>1 che “</w:t>
      </w:r>
      <w:r w:rsidRPr="00904497">
        <w:rPr>
          <w:rFonts w:ascii="Times New Roman" w:hAnsi="Times New Roman" w:cs="Times New Roman"/>
          <w:i/>
          <w:sz w:val="28"/>
          <w:szCs w:val="28"/>
        </w:rPr>
        <w:t xml:space="preserve">4. </w:t>
      </w:r>
      <w:r w:rsidR="00904497" w:rsidRPr="00904497">
        <w:rPr>
          <w:rFonts w:ascii="Times New Roman" w:hAnsi="Times New Roman" w:cs="Times New Roman"/>
          <w:i/>
          <w:sz w:val="28"/>
          <w:szCs w:val="28"/>
        </w:rPr>
        <w:t>L'esercizio della professione è</w:t>
      </w:r>
      <w:r w:rsidRPr="00904497">
        <w:rPr>
          <w:rFonts w:ascii="Times New Roman" w:hAnsi="Times New Roman" w:cs="Times New Roman"/>
          <w:i/>
          <w:sz w:val="28"/>
          <w:szCs w:val="28"/>
        </w:rPr>
        <w:t xml:space="preserve"> libero e fondato sull'autonomia, sulle competenze e sull'indipendenza di giudizio intellettuale e tecnica, nel rispetto dei principi di buonafede, dell'affidamento del pubblico e della clientela, della correttezza, dell'ampliamento e della specializzazione dell'offerta de</w:t>
      </w:r>
      <w:r w:rsidR="00904497" w:rsidRPr="00904497">
        <w:rPr>
          <w:rFonts w:ascii="Times New Roman" w:hAnsi="Times New Roman" w:cs="Times New Roman"/>
          <w:i/>
          <w:sz w:val="28"/>
          <w:szCs w:val="28"/>
        </w:rPr>
        <w:t>i servizi, della responsabilità</w:t>
      </w:r>
      <w:r w:rsidRPr="00904497">
        <w:rPr>
          <w:rFonts w:ascii="Times New Roman" w:hAnsi="Times New Roman" w:cs="Times New Roman"/>
          <w:i/>
          <w:sz w:val="28"/>
          <w:szCs w:val="28"/>
        </w:rPr>
        <w:t xml:space="preserve"> del prof</w:t>
      </w:r>
      <w:r w:rsidR="00904497" w:rsidRPr="00904497">
        <w:rPr>
          <w:rFonts w:ascii="Times New Roman" w:hAnsi="Times New Roman" w:cs="Times New Roman"/>
          <w:i/>
          <w:sz w:val="28"/>
          <w:szCs w:val="28"/>
        </w:rPr>
        <w:t>essionista. 5. La professione è</w:t>
      </w:r>
      <w:r w:rsidRPr="00904497">
        <w:rPr>
          <w:rFonts w:ascii="Times New Roman" w:hAnsi="Times New Roman" w:cs="Times New Roman"/>
          <w:i/>
          <w:sz w:val="28"/>
          <w:szCs w:val="28"/>
        </w:rPr>
        <w:t xml:space="preserve"> esercitata in forma individuale, in forma associata, societaria, cooperativa o nella</w:t>
      </w:r>
      <w:r w:rsidR="00904497" w:rsidRPr="00904497">
        <w:rPr>
          <w:rFonts w:ascii="Times New Roman" w:hAnsi="Times New Roman" w:cs="Times New Roman"/>
          <w:i/>
          <w:sz w:val="28"/>
          <w:szCs w:val="28"/>
        </w:rPr>
        <w:t xml:space="preserve"> </w:t>
      </w:r>
      <w:r w:rsidRPr="00904497">
        <w:rPr>
          <w:rFonts w:ascii="Times New Roman" w:hAnsi="Times New Roman" w:cs="Times New Roman"/>
          <w:i/>
          <w:sz w:val="28"/>
          <w:szCs w:val="28"/>
        </w:rPr>
        <w:t>forma del lavoro dipendenti.</w:t>
      </w:r>
      <w:r w:rsidR="00904497">
        <w:rPr>
          <w:rFonts w:ascii="Times New Roman" w:hAnsi="Times New Roman" w:cs="Times New Roman"/>
          <w:sz w:val="28"/>
          <w:szCs w:val="28"/>
        </w:rPr>
        <w:t>”.</w:t>
      </w:r>
    </w:p>
    <w:p w:rsidR="00440660" w:rsidRDefault="00440660" w:rsidP="00C15882">
      <w:pPr>
        <w:jc w:val="both"/>
        <w:rPr>
          <w:rFonts w:ascii="Times New Roman" w:hAnsi="Times New Roman" w:cs="Times New Roman"/>
          <w:sz w:val="28"/>
          <w:szCs w:val="28"/>
        </w:rPr>
      </w:pPr>
      <w:r>
        <w:rPr>
          <w:rFonts w:ascii="Times New Roman" w:hAnsi="Times New Roman" w:cs="Times New Roman"/>
          <w:sz w:val="28"/>
          <w:szCs w:val="28"/>
        </w:rPr>
        <w:t>Le argomentazioni del T</w:t>
      </w:r>
      <w:r w:rsidR="00C15882">
        <w:rPr>
          <w:rFonts w:ascii="Times New Roman" w:hAnsi="Times New Roman" w:cs="Times New Roman"/>
          <w:sz w:val="28"/>
          <w:szCs w:val="28"/>
        </w:rPr>
        <w:t>ribunale di Gorizia, a mio giudizio</w:t>
      </w:r>
      <w:r>
        <w:rPr>
          <w:rFonts w:ascii="Times New Roman" w:hAnsi="Times New Roman" w:cs="Times New Roman"/>
          <w:sz w:val="28"/>
          <w:szCs w:val="28"/>
        </w:rPr>
        <w:t>,</w:t>
      </w:r>
      <w:r w:rsidR="00C15882">
        <w:rPr>
          <w:rFonts w:ascii="Times New Roman" w:hAnsi="Times New Roman" w:cs="Times New Roman"/>
          <w:sz w:val="28"/>
          <w:szCs w:val="28"/>
        </w:rPr>
        <w:t xml:space="preserve"> </w:t>
      </w:r>
      <w:r>
        <w:rPr>
          <w:rFonts w:ascii="Times New Roman" w:hAnsi="Times New Roman" w:cs="Times New Roman"/>
          <w:sz w:val="28"/>
          <w:szCs w:val="28"/>
        </w:rPr>
        <w:t xml:space="preserve">possono essere condivise, in quanto anche le società cooperative, </w:t>
      </w:r>
      <w:r w:rsidR="00CE177F">
        <w:rPr>
          <w:rFonts w:ascii="Times New Roman" w:hAnsi="Times New Roman" w:cs="Times New Roman"/>
          <w:sz w:val="28"/>
          <w:szCs w:val="28"/>
        </w:rPr>
        <w:t>per tutte le ragioni sopraddette,</w:t>
      </w:r>
      <w:r w:rsidR="00C15882">
        <w:rPr>
          <w:rFonts w:ascii="Times New Roman" w:hAnsi="Times New Roman" w:cs="Times New Roman"/>
          <w:sz w:val="28"/>
          <w:szCs w:val="28"/>
        </w:rPr>
        <w:t xml:space="preserve"> </w:t>
      </w:r>
      <w:r>
        <w:rPr>
          <w:rFonts w:ascii="Times New Roman" w:hAnsi="Times New Roman" w:cs="Times New Roman"/>
          <w:sz w:val="28"/>
          <w:szCs w:val="28"/>
        </w:rPr>
        <w:t xml:space="preserve">sembrano poter fornire ai condomini </w:t>
      </w:r>
      <w:r w:rsidR="00966E7B">
        <w:rPr>
          <w:rFonts w:ascii="Times New Roman" w:hAnsi="Times New Roman" w:cs="Times New Roman"/>
          <w:sz w:val="28"/>
          <w:szCs w:val="28"/>
        </w:rPr>
        <w:t>se non le stesse, comunque altre efficaci garanzie</w:t>
      </w:r>
      <w:r>
        <w:rPr>
          <w:rFonts w:ascii="Times New Roman" w:hAnsi="Times New Roman" w:cs="Times New Roman"/>
          <w:sz w:val="28"/>
          <w:szCs w:val="28"/>
        </w:rPr>
        <w:t>.</w:t>
      </w:r>
    </w:p>
    <w:p w:rsidR="00724A74" w:rsidRDefault="001B7EE3" w:rsidP="00C15882">
      <w:pPr>
        <w:jc w:val="both"/>
        <w:rPr>
          <w:rFonts w:ascii="Times New Roman" w:hAnsi="Times New Roman" w:cs="Times New Roman"/>
          <w:sz w:val="28"/>
          <w:szCs w:val="28"/>
        </w:rPr>
      </w:pPr>
      <w:r>
        <w:rPr>
          <w:rFonts w:ascii="Times New Roman" w:hAnsi="Times New Roman" w:cs="Times New Roman"/>
          <w:sz w:val="28"/>
          <w:szCs w:val="28"/>
        </w:rPr>
        <w:t xml:space="preserve">Voglio ricordare che a i sensi del terzo comma </w:t>
      </w:r>
      <w:r w:rsidR="00CE177F">
        <w:rPr>
          <w:rFonts w:ascii="Times New Roman" w:hAnsi="Times New Roman" w:cs="Times New Roman"/>
          <w:sz w:val="28"/>
          <w:szCs w:val="28"/>
        </w:rPr>
        <w:t>dell’</w:t>
      </w:r>
      <w:r w:rsidR="00C15882">
        <w:rPr>
          <w:rFonts w:ascii="Times New Roman" w:hAnsi="Times New Roman" w:cs="Times New Roman"/>
          <w:sz w:val="28"/>
          <w:szCs w:val="28"/>
        </w:rPr>
        <w:t xml:space="preserve">art. 71 </w:t>
      </w:r>
      <w:proofErr w:type="spellStart"/>
      <w:r w:rsidR="00C15882">
        <w:rPr>
          <w:rFonts w:ascii="Times New Roman" w:hAnsi="Times New Roman" w:cs="Times New Roman"/>
          <w:sz w:val="28"/>
          <w:szCs w:val="28"/>
        </w:rPr>
        <w:t>disp</w:t>
      </w:r>
      <w:proofErr w:type="spellEnd"/>
      <w:r w:rsidR="00C15882">
        <w:rPr>
          <w:rFonts w:ascii="Times New Roman" w:hAnsi="Times New Roman" w:cs="Times New Roman"/>
          <w:sz w:val="28"/>
          <w:szCs w:val="28"/>
        </w:rPr>
        <w:t xml:space="preserve">. </w:t>
      </w:r>
      <w:proofErr w:type="spellStart"/>
      <w:r w:rsidR="00C15882">
        <w:rPr>
          <w:rFonts w:ascii="Times New Roman" w:hAnsi="Times New Roman" w:cs="Times New Roman"/>
          <w:sz w:val="28"/>
          <w:szCs w:val="28"/>
        </w:rPr>
        <w:t>att</w:t>
      </w:r>
      <w:proofErr w:type="spellEnd"/>
      <w:r w:rsidR="00C15882">
        <w:rPr>
          <w:rFonts w:ascii="Times New Roman" w:hAnsi="Times New Roman" w:cs="Times New Roman"/>
          <w:sz w:val="28"/>
          <w:szCs w:val="28"/>
        </w:rPr>
        <w:t xml:space="preserve">. </w:t>
      </w:r>
      <w:r>
        <w:rPr>
          <w:rFonts w:ascii="Times New Roman" w:hAnsi="Times New Roman" w:cs="Times New Roman"/>
          <w:sz w:val="28"/>
          <w:szCs w:val="28"/>
        </w:rPr>
        <w:t xml:space="preserve">i requisiti richiesti per gli amministratori individuali devono essere posseduti dai soci illimitatamente responsabili (che nelle società cooperative </w:t>
      </w:r>
      <w:r w:rsidR="00440660">
        <w:rPr>
          <w:rFonts w:ascii="Times New Roman" w:hAnsi="Times New Roman" w:cs="Times New Roman"/>
          <w:sz w:val="28"/>
          <w:szCs w:val="28"/>
        </w:rPr>
        <w:t xml:space="preserve">però </w:t>
      </w:r>
      <w:r>
        <w:rPr>
          <w:rFonts w:ascii="Times New Roman" w:hAnsi="Times New Roman" w:cs="Times New Roman"/>
          <w:sz w:val="28"/>
          <w:szCs w:val="28"/>
        </w:rPr>
        <w:t>non esistono), dagli amministratori e dai dipendenti incaricati di svolgere le funzioni amministrative dei condominii a favore dei quali la società presta i servizi</w:t>
      </w:r>
      <w:r w:rsidR="00C15882">
        <w:rPr>
          <w:rFonts w:ascii="Times New Roman" w:hAnsi="Times New Roman" w:cs="Times New Roman"/>
          <w:sz w:val="28"/>
          <w:szCs w:val="28"/>
        </w:rPr>
        <w:t>.</w:t>
      </w:r>
    </w:p>
    <w:p w:rsidR="007E0374" w:rsidRDefault="001B7EE3" w:rsidP="00C15882">
      <w:pPr>
        <w:jc w:val="both"/>
        <w:rPr>
          <w:rFonts w:ascii="Times New Roman" w:hAnsi="Times New Roman" w:cs="Times New Roman"/>
          <w:sz w:val="28"/>
          <w:szCs w:val="28"/>
        </w:rPr>
      </w:pPr>
      <w:r>
        <w:rPr>
          <w:rFonts w:ascii="Times New Roman" w:hAnsi="Times New Roman" w:cs="Times New Roman"/>
          <w:sz w:val="28"/>
          <w:szCs w:val="28"/>
        </w:rPr>
        <w:t>Rimane inteso che nel caso in cui questi requisiti non dovessero sussistere in capo a</w:t>
      </w:r>
      <w:r w:rsidR="007623D3">
        <w:rPr>
          <w:rFonts w:ascii="Times New Roman" w:hAnsi="Times New Roman" w:cs="Times New Roman"/>
          <w:sz w:val="28"/>
          <w:szCs w:val="28"/>
        </w:rPr>
        <w:t xml:space="preserve"> chi</w:t>
      </w:r>
      <w:r w:rsidR="00440660">
        <w:rPr>
          <w:rFonts w:ascii="Times New Roman" w:hAnsi="Times New Roman" w:cs="Times New Roman"/>
          <w:sz w:val="28"/>
          <w:szCs w:val="28"/>
        </w:rPr>
        <w:t>, nell’ambito della cooperativa,</w:t>
      </w:r>
      <w:r>
        <w:rPr>
          <w:rFonts w:ascii="Times New Roman" w:hAnsi="Times New Roman" w:cs="Times New Roman"/>
          <w:sz w:val="28"/>
          <w:szCs w:val="28"/>
        </w:rPr>
        <w:t xml:space="preserve"> appartenga ad una d</w:t>
      </w:r>
      <w:r w:rsidR="0045032D">
        <w:rPr>
          <w:rFonts w:ascii="Times New Roman" w:hAnsi="Times New Roman" w:cs="Times New Roman"/>
          <w:sz w:val="28"/>
          <w:szCs w:val="28"/>
        </w:rPr>
        <w:t xml:space="preserve">i queste </w:t>
      </w:r>
      <w:r w:rsidR="00440660">
        <w:rPr>
          <w:rFonts w:ascii="Times New Roman" w:hAnsi="Times New Roman" w:cs="Times New Roman"/>
          <w:sz w:val="28"/>
          <w:szCs w:val="28"/>
        </w:rPr>
        <w:t xml:space="preserve">due ultime </w:t>
      </w:r>
      <w:r>
        <w:rPr>
          <w:rFonts w:ascii="Times New Roman" w:hAnsi="Times New Roman" w:cs="Times New Roman"/>
          <w:sz w:val="28"/>
          <w:szCs w:val="28"/>
        </w:rPr>
        <w:t xml:space="preserve">categorie e </w:t>
      </w:r>
      <w:r w:rsidR="00440660">
        <w:rPr>
          <w:rFonts w:ascii="Times New Roman" w:hAnsi="Times New Roman" w:cs="Times New Roman"/>
          <w:sz w:val="28"/>
          <w:szCs w:val="28"/>
        </w:rPr>
        <w:t>si occupi dell’amministrazione del condominio</w:t>
      </w:r>
      <w:r w:rsidR="007E0374">
        <w:rPr>
          <w:rFonts w:ascii="Times New Roman" w:hAnsi="Times New Roman" w:cs="Times New Roman"/>
          <w:sz w:val="28"/>
          <w:szCs w:val="28"/>
        </w:rPr>
        <w:t xml:space="preserve">, la nomina </w:t>
      </w:r>
      <w:r w:rsidR="00440660">
        <w:rPr>
          <w:rFonts w:ascii="Times New Roman" w:hAnsi="Times New Roman" w:cs="Times New Roman"/>
          <w:sz w:val="28"/>
          <w:szCs w:val="28"/>
        </w:rPr>
        <w:t xml:space="preserve">della cooperativa come amministratore </w:t>
      </w:r>
      <w:r w:rsidR="007E0374">
        <w:rPr>
          <w:rFonts w:ascii="Times New Roman" w:hAnsi="Times New Roman" w:cs="Times New Roman"/>
          <w:sz w:val="28"/>
          <w:szCs w:val="28"/>
        </w:rPr>
        <w:t xml:space="preserve">sarebbe nulla, con tutte le conseguenze che ne derivano, anche in ordine alla possibilità </w:t>
      </w:r>
      <w:r w:rsidR="00440660">
        <w:rPr>
          <w:rFonts w:ascii="Times New Roman" w:hAnsi="Times New Roman" w:cs="Times New Roman"/>
          <w:sz w:val="28"/>
          <w:szCs w:val="28"/>
        </w:rPr>
        <w:t xml:space="preserve">per la stessa </w:t>
      </w:r>
      <w:r w:rsidR="007E0374">
        <w:rPr>
          <w:rFonts w:ascii="Times New Roman" w:hAnsi="Times New Roman" w:cs="Times New Roman"/>
          <w:sz w:val="28"/>
          <w:szCs w:val="28"/>
        </w:rPr>
        <w:t>di chiedere il compenso.</w:t>
      </w:r>
    </w:p>
    <w:p w:rsidR="007E0374" w:rsidRDefault="007E0374" w:rsidP="00C15882">
      <w:pPr>
        <w:jc w:val="both"/>
        <w:rPr>
          <w:rFonts w:ascii="Times New Roman" w:hAnsi="Times New Roman" w:cs="Times New Roman"/>
          <w:sz w:val="28"/>
          <w:szCs w:val="28"/>
        </w:rPr>
      </w:pPr>
      <w:r>
        <w:rPr>
          <w:rFonts w:ascii="Times New Roman" w:hAnsi="Times New Roman" w:cs="Times New Roman"/>
          <w:sz w:val="28"/>
          <w:szCs w:val="28"/>
        </w:rPr>
        <w:t xml:space="preserve">A tale conclusione si giunge aderendo alla tesi prevalente che considera l’art. 71 bis, </w:t>
      </w:r>
      <w:proofErr w:type="spellStart"/>
      <w:r>
        <w:rPr>
          <w:rFonts w:ascii="Times New Roman" w:hAnsi="Times New Roman" w:cs="Times New Roman"/>
          <w:sz w:val="28"/>
          <w:szCs w:val="28"/>
        </w:rPr>
        <w:t>disp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att</w:t>
      </w:r>
      <w:proofErr w:type="spellEnd"/>
      <w:r>
        <w:rPr>
          <w:rFonts w:ascii="Times New Roman" w:hAnsi="Times New Roman" w:cs="Times New Roman"/>
          <w:sz w:val="28"/>
          <w:szCs w:val="28"/>
        </w:rPr>
        <w:t xml:space="preserve">. c.c. come una norma imperativa in quanto </w:t>
      </w:r>
      <w:proofErr w:type="spellStart"/>
      <w:r>
        <w:rPr>
          <w:rFonts w:ascii="Times New Roman" w:hAnsi="Times New Roman" w:cs="Times New Roman"/>
          <w:sz w:val="28"/>
          <w:szCs w:val="28"/>
        </w:rPr>
        <w:t>posta</w:t>
      </w:r>
      <w:proofErr w:type="spellEnd"/>
      <w:r>
        <w:rPr>
          <w:rFonts w:ascii="Times New Roman" w:hAnsi="Times New Roman" w:cs="Times New Roman"/>
          <w:sz w:val="28"/>
          <w:szCs w:val="28"/>
        </w:rPr>
        <w:t xml:space="preserve"> </w:t>
      </w:r>
      <w:r w:rsidR="007623D3" w:rsidRPr="007E0374">
        <w:rPr>
          <w:rFonts w:ascii="Times New Roman" w:hAnsi="Times New Roman" w:cs="Times New Roman"/>
          <w:sz w:val="28"/>
          <w:szCs w:val="28"/>
        </w:rPr>
        <w:t xml:space="preserve">a tutela di interessi generali della collettività ed in particolare del consumatore. </w:t>
      </w:r>
    </w:p>
    <w:p w:rsidR="007E0374" w:rsidRDefault="007623D3" w:rsidP="00C15882">
      <w:pPr>
        <w:jc w:val="both"/>
        <w:rPr>
          <w:rFonts w:ascii="Times New Roman" w:hAnsi="Times New Roman" w:cs="Times New Roman"/>
          <w:sz w:val="28"/>
          <w:szCs w:val="28"/>
        </w:rPr>
      </w:pPr>
      <w:r w:rsidRPr="007E0374">
        <w:rPr>
          <w:rFonts w:ascii="Times New Roman" w:hAnsi="Times New Roman" w:cs="Times New Roman"/>
          <w:sz w:val="28"/>
          <w:szCs w:val="28"/>
        </w:rPr>
        <w:t xml:space="preserve">Ciò ancor più alla luce </w:t>
      </w:r>
      <w:r w:rsidR="007E0374">
        <w:rPr>
          <w:rFonts w:ascii="Times New Roman" w:hAnsi="Times New Roman" w:cs="Times New Roman"/>
          <w:sz w:val="28"/>
          <w:szCs w:val="28"/>
        </w:rPr>
        <w:t>della l</w:t>
      </w:r>
      <w:r w:rsidRPr="007E0374">
        <w:rPr>
          <w:rFonts w:ascii="Times New Roman" w:hAnsi="Times New Roman" w:cs="Times New Roman"/>
          <w:sz w:val="28"/>
          <w:szCs w:val="28"/>
        </w:rPr>
        <w:t>egge n.</w:t>
      </w:r>
      <w:r w:rsidR="007E0374">
        <w:rPr>
          <w:rFonts w:ascii="Times New Roman" w:hAnsi="Times New Roman" w:cs="Times New Roman"/>
          <w:sz w:val="28"/>
          <w:szCs w:val="28"/>
        </w:rPr>
        <w:t xml:space="preserve"> </w:t>
      </w:r>
      <w:r w:rsidRPr="007E0374">
        <w:rPr>
          <w:rFonts w:ascii="Times New Roman" w:hAnsi="Times New Roman" w:cs="Times New Roman"/>
          <w:sz w:val="28"/>
          <w:szCs w:val="28"/>
        </w:rPr>
        <w:t>4/2013</w:t>
      </w:r>
      <w:r w:rsidR="0045032D">
        <w:rPr>
          <w:rFonts w:ascii="Times New Roman" w:hAnsi="Times New Roman" w:cs="Times New Roman"/>
          <w:sz w:val="28"/>
          <w:szCs w:val="28"/>
        </w:rPr>
        <w:t>,</w:t>
      </w:r>
      <w:r w:rsidRPr="007E0374">
        <w:rPr>
          <w:rFonts w:ascii="Times New Roman" w:hAnsi="Times New Roman" w:cs="Times New Roman"/>
          <w:sz w:val="28"/>
          <w:szCs w:val="28"/>
        </w:rPr>
        <w:t xml:space="preserve"> che ri</w:t>
      </w:r>
      <w:r w:rsidR="007E0374">
        <w:rPr>
          <w:rFonts w:ascii="Times New Roman" w:hAnsi="Times New Roman" w:cs="Times New Roman"/>
          <w:sz w:val="28"/>
          <w:szCs w:val="28"/>
        </w:rPr>
        <w:t>guarda anche la professione di a</w:t>
      </w:r>
      <w:r w:rsidRPr="007E0374">
        <w:rPr>
          <w:rFonts w:ascii="Times New Roman" w:hAnsi="Times New Roman" w:cs="Times New Roman"/>
          <w:sz w:val="28"/>
          <w:szCs w:val="28"/>
        </w:rPr>
        <w:t xml:space="preserve">mministratore di condominio. </w:t>
      </w:r>
    </w:p>
    <w:p w:rsidR="007E0374" w:rsidRDefault="007E0374" w:rsidP="00C15882">
      <w:pPr>
        <w:jc w:val="both"/>
        <w:rPr>
          <w:rFonts w:ascii="Times New Roman" w:hAnsi="Times New Roman" w:cs="Times New Roman"/>
          <w:sz w:val="28"/>
          <w:szCs w:val="28"/>
        </w:rPr>
      </w:pPr>
      <w:r>
        <w:rPr>
          <w:rFonts w:ascii="Times New Roman" w:hAnsi="Times New Roman" w:cs="Times New Roman"/>
          <w:sz w:val="28"/>
          <w:szCs w:val="28"/>
        </w:rPr>
        <w:t>Ne consegue che a prescindere dalla volontà della maggioranza dei condomini</w:t>
      </w:r>
      <w:r w:rsidR="0045032D">
        <w:rPr>
          <w:rFonts w:ascii="Times New Roman" w:hAnsi="Times New Roman" w:cs="Times New Roman"/>
          <w:sz w:val="28"/>
          <w:szCs w:val="28"/>
        </w:rPr>
        <w:t>,</w:t>
      </w:r>
      <w:r>
        <w:rPr>
          <w:rFonts w:ascii="Times New Roman" w:hAnsi="Times New Roman" w:cs="Times New Roman"/>
          <w:sz w:val="28"/>
          <w:szCs w:val="28"/>
        </w:rPr>
        <w:t xml:space="preserve"> ciascuno di essi potrà</w:t>
      </w:r>
      <w:r w:rsidR="00440660">
        <w:rPr>
          <w:rFonts w:ascii="Times New Roman" w:hAnsi="Times New Roman" w:cs="Times New Roman"/>
          <w:sz w:val="28"/>
          <w:szCs w:val="28"/>
        </w:rPr>
        <w:t xml:space="preserve"> rivolgersi al giudice per far</w:t>
      </w:r>
      <w:r>
        <w:rPr>
          <w:rFonts w:ascii="Times New Roman" w:hAnsi="Times New Roman" w:cs="Times New Roman"/>
          <w:sz w:val="28"/>
          <w:szCs w:val="28"/>
        </w:rPr>
        <w:t xml:space="preserve"> valere </w:t>
      </w:r>
      <w:r w:rsidR="00440660">
        <w:rPr>
          <w:rFonts w:ascii="Times New Roman" w:hAnsi="Times New Roman" w:cs="Times New Roman"/>
          <w:sz w:val="28"/>
          <w:szCs w:val="28"/>
        </w:rPr>
        <w:t xml:space="preserve">tale nullità </w:t>
      </w:r>
      <w:r w:rsidR="0045032D">
        <w:rPr>
          <w:rFonts w:ascii="Times New Roman" w:hAnsi="Times New Roman" w:cs="Times New Roman"/>
          <w:sz w:val="28"/>
          <w:szCs w:val="28"/>
        </w:rPr>
        <w:t>e/</w:t>
      </w:r>
      <w:r>
        <w:rPr>
          <w:rFonts w:ascii="Times New Roman" w:hAnsi="Times New Roman" w:cs="Times New Roman"/>
          <w:sz w:val="28"/>
          <w:szCs w:val="28"/>
        </w:rPr>
        <w:t xml:space="preserve">o </w:t>
      </w:r>
      <w:r w:rsidR="0045032D">
        <w:rPr>
          <w:rFonts w:ascii="Times New Roman" w:hAnsi="Times New Roman" w:cs="Times New Roman"/>
          <w:sz w:val="28"/>
          <w:szCs w:val="28"/>
        </w:rPr>
        <w:t xml:space="preserve">a </w:t>
      </w:r>
      <w:r w:rsidR="00440660">
        <w:rPr>
          <w:rFonts w:ascii="Times New Roman" w:hAnsi="Times New Roman" w:cs="Times New Roman"/>
          <w:sz w:val="28"/>
          <w:szCs w:val="28"/>
        </w:rPr>
        <w:t xml:space="preserve">per </w:t>
      </w:r>
      <w:r>
        <w:rPr>
          <w:rFonts w:ascii="Times New Roman" w:hAnsi="Times New Roman" w:cs="Times New Roman"/>
          <w:sz w:val="28"/>
          <w:szCs w:val="28"/>
        </w:rPr>
        <w:t>farne valere le conseguenze.</w:t>
      </w:r>
    </w:p>
    <w:p w:rsidR="007623D3" w:rsidRDefault="007623D3" w:rsidP="00C1588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Se invece </w:t>
      </w:r>
      <w:r w:rsidR="0045032D">
        <w:rPr>
          <w:rFonts w:ascii="Times New Roman" w:hAnsi="Times New Roman" w:cs="Times New Roman"/>
          <w:sz w:val="28"/>
          <w:szCs w:val="28"/>
        </w:rPr>
        <w:t xml:space="preserve">l’amministratore della società o il dipendente </w:t>
      </w:r>
      <w:r>
        <w:rPr>
          <w:rFonts w:ascii="Times New Roman" w:hAnsi="Times New Roman" w:cs="Times New Roman"/>
          <w:sz w:val="28"/>
          <w:szCs w:val="28"/>
        </w:rPr>
        <w:t xml:space="preserve">dovesse perdere i requisiti suddetti nel corso dell’incarico, </w:t>
      </w:r>
      <w:r w:rsidR="00440660">
        <w:rPr>
          <w:rFonts w:ascii="Times New Roman" w:hAnsi="Times New Roman" w:cs="Times New Roman"/>
          <w:sz w:val="28"/>
          <w:szCs w:val="28"/>
        </w:rPr>
        <w:t xml:space="preserve">la cooperativa </w:t>
      </w:r>
      <w:r>
        <w:rPr>
          <w:rFonts w:ascii="Times New Roman" w:hAnsi="Times New Roman" w:cs="Times New Roman"/>
          <w:sz w:val="28"/>
          <w:szCs w:val="28"/>
        </w:rPr>
        <w:t>cess</w:t>
      </w:r>
      <w:r w:rsidR="00613000">
        <w:rPr>
          <w:rFonts w:ascii="Times New Roman" w:hAnsi="Times New Roman" w:cs="Times New Roman"/>
          <w:sz w:val="28"/>
          <w:szCs w:val="28"/>
        </w:rPr>
        <w:t>erà automaticamente dall’essere amministratrice</w:t>
      </w:r>
      <w:r>
        <w:rPr>
          <w:rFonts w:ascii="Times New Roman" w:hAnsi="Times New Roman" w:cs="Times New Roman"/>
          <w:sz w:val="28"/>
          <w:szCs w:val="28"/>
        </w:rPr>
        <w:t xml:space="preserve"> e ciascun condomino potrà chiedere la convocazione dell’assemblea per la no</w:t>
      </w:r>
      <w:r w:rsidR="0045032D">
        <w:rPr>
          <w:rFonts w:ascii="Times New Roman" w:hAnsi="Times New Roman" w:cs="Times New Roman"/>
          <w:sz w:val="28"/>
          <w:szCs w:val="28"/>
        </w:rPr>
        <w:t>mina di un nuovo amministratore, in conformità a quanto prevede il quarto comma dell’art. 71 bis cit..</w:t>
      </w:r>
    </w:p>
    <w:p w:rsidR="00C15882" w:rsidRDefault="00C15882" w:rsidP="00C15882">
      <w:pPr>
        <w:jc w:val="both"/>
        <w:rPr>
          <w:rFonts w:ascii="Times New Roman" w:hAnsi="Times New Roman" w:cs="Times New Roman"/>
          <w:sz w:val="28"/>
          <w:szCs w:val="28"/>
        </w:rPr>
      </w:pPr>
      <w:r>
        <w:rPr>
          <w:rFonts w:ascii="Times New Roman" w:hAnsi="Times New Roman" w:cs="Times New Roman"/>
          <w:sz w:val="28"/>
          <w:szCs w:val="28"/>
        </w:rPr>
        <w:t>L’assoluta novità della materia del contendere ha indotto il tribunale a compensare integralmente le spese tra le parti.</w:t>
      </w:r>
    </w:p>
    <w:p w:rsidR="00F67F27" w:rsidRPr="00F67F27" w:rsidRDefault="002D2FF0" w:rsidP="00F67F27">
      <w:pPr>
        <w:jc w:val="both"/>
        <w:rPr>
          <w:rFonts w:ascii="Times New Roman" w:hAnsi="Times New Roman" w:cs="Times New Roman"/>
          <w:i/>
          <w:sz w:val="28"/>
          <w:szCs w:val="28"/>
        </w:rPr>
      </w:pPr>
      <w:r>
        <w:rPr>
          <w:rFonts w:ascii="Times New Roman" w:hAnsi="Times New Roman" w:cs="Times New Roman"/>
          <w:sz w:val="28"/>
          <w:szCs w:val="28"/>
        </w:rPr>
        <w:t>Con attinenza all’oggetto delle presenti note</w:t>
      </w:r>
      <w:r w:rsidR="00F67F27">
        <w:rPr>
          <w:rFonts w:ascii="Times New Roman" w:hAnsi="Times New Roman" w:cs="Times New Roman"/>
          <w:sz w:val="28"/>
          <w:szCs w:val="28"/>
        </w:rPr>
        <w:t xml:space="preserve">, voglio infine dare atto della recentissima sentenza </w:t>
      </w:r>
      <w:r>
        <w:rPr>
          <w:rFonts w:ascii="Times New Roman" w:hAnsi="Times New Roman" w:cs="Times New Roman"/>
          <w:sz w:val="28"/>
          <w:szCs w:val="28"/>
        </w:rPr>
        <w:t>della C</w:t>
      </w:r>
      <w:r w:rsidR="00AF0D38">
        <w:rPr>
          <w:rFonts w:ascii="Times New Roman" w:hAnsi="Times New Roman" w:cs="Times New Roman"/>
          <w:sz w:val="28"/>
          <w:szCs w:val="28"/>
        </w:rPr>
        <w:t>assazione n. 24432 del 30/11/2016, sino ad oggi inedita,</w:t>
      </w:r>
      <w:r w:rsidR="00F67F27">
        <w:rPr>
          <w:rFonts w:ascii="Times New Roman" w:hAnsi="Times New Roman" w:cs="Times New Roman"/>
          <w:sz w:val="28"/>
          <w:szCs w:val="28"/>
        </w:rPr>
        <w:t xml:space="preserve"> che ha ritenuto che “</w:t>
      </w:r>
      <w:r w:rsidR="00F67F27" w:rsidRPr="00F67F27">
        <w:rPr>
          <w:rFonts w:ascii="Times New Roman" w:hAnsi="Times New Roman" w:cs="Times New Roman"/>
          <w:i/>
          <w:sz w:val="28"/>
          <w:szCs w:val="28"/>
        </w:rPr>
        <w:t>Non sussiste alcuna violazione di legge nella previsione del regolamento condominiale che stabilisca le caratteristiche, i requisiti e i titoli che deve avere l'amministratore del condominio.</w:t>
      </w:r>
    </w:p>
    <w:p w:rsidR="00F67F27" w:rsidRDefault="00F67F27" w:rsidP="00F67F27">
      <w:pPr>
        <w:jc w:val="both"/>
        <w:rPr>
          <w:rFonts w:ascii="Times New Roman" w:hAnsi="Times New Roman" w:cs="Times New Roman"/>
          <w:sz w:val="28"/>
          <w:szCs w:val="28"/>
        </w:rPr>
      </w:pPr>
      <w:r w:rsidRPr="00F67F27">
        <w:rPr>
          <w:rFonts w:ascii="Times New Roman" w:hAnsi="Times New Roman" w:cs="Times New Roman"/>
          <w:i/>
          <w:sz w:val="28"/>
          <w:szCs w:val="28"/>
        </w:rPr>
        <w:t xml:space="preserve">Invero, in tema di condominio negli edifici, l'art. 1138 quarto comma cod. civ., pur dichiarando espressamente non derogabile dal regolamento (tra le altre) la disposizione dell'art. 1129 cod. civ., la quale attribuisce all'assemblea la nomina dell'amministratore e stabilisce la durata dell'incarico (Sez. 2, Sentenza n. 13011 del 24/05/2013, </w:t>
      </w:r>
      <w:proofErr w:type="spellStart"/>
      <w:r w:rsidRPr="00F67F27">
        <w:rPr>
          <w:rFonts w:ascii="Times New Roman" w:hAnsi="Times New Roman" w:cs="Times New Roman"/>
          <w:i/>
          <w:sz w:val="28"/>
          <w:szCs w:val="28"/>
        </w:rPr>
        <w:t>Rv</w:t>
      </w:r>
      <w:proofErr w:type="spellEnd"/>
      <w:r w:rsidRPr="00F67F27">
        <w:rPr>
          <w:rFonts w:ascii="Times New Roman" w:hAnsi="Times New Roman" w:cs="Times New Roman"/>
          <w:i/>
          <w:sz w:val="28"/>
          <w:szCs w:val="28"/>
        </w:rPr>
        <w:t>. 626458), non preclude però che il regolamento condominiale possa stabilire che la scelta dell'assemblea debba cadere su soggetti (persone fisiche o persone giuridiche) che presentino determinare caratteristiche, requisiti o titoli professionali.</w:t>
      </w:r>
      <w:r>
        <w:rPr>
          <w:rFonts w:ascii="Times New Roman" w:hAnsi="Times New Roman" w:cs="Times New Roman"/>
          <w:sz w:val="28"/>
          <w:szCs w:val="28"/>
        </w:rPr>
        <w:t xml:space="preserve">” (nella fattispecie il regolamento di condominio prevedeva che </w:t>
      </w:r>
      <w:r>
        <w:rPr>
          <w:rFonts w:ascii="Times New Roman" w:hAnsi="Times New Roman" w:cs="Times New Roman"/>
          <w:i/>
          <w:sz w:val="28"/>
          <w:szCs w:val="28"/>
        </w:rPr>
        <w:t>“</w:t>
      </w:r>
      <w:r w:rsidRPr="00F67F27">
        <w:rPr>
          <w:rFonts w:ascii="Times New Roman" w:hAnsi="Times New Roman" w:cs="Times New Roman"/>
          <w:i/>
          <w:sz w:val="28"/>
          <w:szCs w:val="28"/>
        </w:rPr>
        <w:t>l'amministratore dovrà essere un libero professionista iscritto al rispettivo albo e/o associazione, or</w:t>
      </w:r>
      <w:r>
        <w:rPr>
          <w:rFonts w:ascii="Times New Roman" w:hAnsi="Times New Roman" w:cs="Times New Roman"/>
          <w:i/>
          <w:sz w:val="28"/>
          <w:szCs w:val="28"/>
        </w:rPr>
        <w:t>dine o collegio di appartenenza”</w:t>
      </w:r>
      <w:r>
        <w:rPr>
          <w:rFonts w:ascii="Times New Roman" w:hAnsi="Times New Roman" w:cs="Times New Roman"/>
          <w:sz w:val="28"/>
          <w:szCs w:val="28"/>
        </w:rPr>
        <w:t>).</w:t>
      </w:r>
    </w:p>
    <w:p w:rsidR="002D2FF0" w:rsidRDefault="002D2FF0" w:rsidP="00F67F27">
      <w:pPr>
        <w:jc w:val="both"/>
        <w:rPr>
          <w:rFonts w:ascii="Times New Roman" w:hAnsi="Times New Roman" w:cs="Times New Roman"/>
          <w:sz w:val="28"/>
          <w:szCs w:val="28"/>
        </w:rPr>
      </w:pPr>
      <w:r>
        <w:rPr>
          <w:rFonts w:ascii="Times New Roman" w:hAnsi="Times New Roman" w:cs="Times New Roman"/>
          <w:sz w:val="28"/>
          <w:szCs w:val="28"/>
        </w:rPr>
        <w:t>La sentenza non specifica se quel regolamento era di origine contrattuale o assembleare.</w:t>
      </w:r>
    </w:p>
    <w:p w:rsidR="002D2FF0" w:rsidRDefault="002D2FF0" w:rsidP="00F67F27">
      <w:pPr>
        <w:jc w:val="both"/>
        <w:rPr>
          <w:rFonts w:ascii="Times New Roman" w:hAnsi="Times New Roman" w:cs="Times New Roman"/>
          <w:sz w:val="28"/>
          <w:szCs w:val="28"/>
        </w:rPr>
      </w:pPr>
      <w:r>
        <w:rPr>
          <w:rFonts w:ascii="Times New Roman" w:hAnsi="Times New Roman" w:cs="Times New Roman"/>
          <w:sz w:val="28"/>
          <w:szCs w:val="28"/>
        </w:rPr>
        <w:t>Ritengo però che trattandosi di norma che non deroga la legge ed alla quale può essere riconosciuta natura regolamentare, non sia necessaria la forma contrattuale.</w:t>
      </w:r>
    </w:p>
    <w:p w:rsidR="002D2FF0" w:rsidRDefault="002D2FF0" w:rsidP="00F67F27">
      <w:pPr>
        <w:jc w:val="both"/>
        <w:rPr>
          <w:rFonts w:ascii="Times New Roman" w:hAnsi="Times New Roman" w:cs="Times New Roman"/>
          <w:sz w:val="28"/>
          <w:szCs w:val="28"/>
        </w:rPr>
      </w:pPr>
      <w:r>
        <w:rPr>
          <w:rFonts w:ascii="Times New Roman" w:hAnsi="Times New Roman" w:cs="Times New Roman"/>
          <w:sz w:val="28"/>
          <w:szCs w:val="28"/>
        </w:rPr>
        <w:t>Da notare che la sentenza, per quanto può interessare la materia di cui si discute, fa generico riferimento alle persone giuridiche che possono svolgere l’attività di amministratore, senza specificare la loro forma.</w:t>
      </w:r>
    </w:p>
    <w:p w:rsidR="002D2FF0" w:rsidRPr="00F67F27" w:rsidRDefault="002D2FF0" w:rsidP="00F67F27">
      <w:pPr>
        <w:jc w:val="both"/>
        <w:rPr>
          <w:rFonts w:ascii="Times New Roman" w:hAnsi="Times New Roman" w:cs="Times New Roman"/>
          <w:sz w:val="28"/>
          <w:szCs w:val="28"/>
        </w:rPr>
      </w:pPr>
    </w:p>
    <w:p w:rsidR="00F67F27" w:rsidRPr="00C07DDA" w:rsidRDefault="00F67F27" w:rsidP="00C15882">
      <w:pPr>
        <w:jc w:val="both"/>
        <w:rPr>
          <w:rFonts w:ascii="Times New Roman" w:hAnsi="Times New Roman" w:cs="Times New Roman"/>
          <w:sz w:val="28"/>
          <w:szCs w:val="28"/>
        </w:rPr>
      </w:pPr>
    </w:p>
    <w:sectPr w:rsidR="00F67F27" w:rsidRPr="00C07D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96D"/>
    <w:rsid w:val="00057E60"/>
    <w:rsid w:val="000D48C7"/>
    <w:rsid w:val="000F5A0B"/>
    <w:rsid w:val="001B7EE3"/>
    <w:rsid w:val="002D2FF0"/>
    <w:rsid w:val="003B7B99"/>
    <w:rsid w:val="00404815"/>
    <w:rsid w:val="00416CD6"/>
    <w:rsid w:val="00440660"/>
    <w:rsid w:val="0045032D"/>
    <w:rsid w:val="00483432"/>
    <w:rsid w:val="004F1F85"/>
    <w:rsid w:val="00563DDF"/>
    <w:rsid w:val="005F2720"/>
    <w:rsid w:val="00613000"/>
    <w:rsid w:val="006179F3"/>
    <w:rsid w:val="00667753"/>
    <w:rsid w:val="00724A74"/>
    <w:rsid w:val="007623D3"/>
    <w:rsid w:val="0077432F"/>
    <w:rsid w:val="007E0374"/>
    <w:rsid w:val="00870436"/>
    <w:rsid w:val="00904497"/>
    <w:rsid w:val="00933148"/>
    <w:rsid w:val="00966E7B"/>
    <w:rsid w:val="00A02529"/>
    <w:rsid w:val="00A2612A"/>
    <w:rsid w:val="00A3592D"/>
    <w:rsid w:val="00AF0D38"/>
    <w:rsid w:val="00B41C78"/>
    <w:rsid w:val="00B6520B"/>
    <w:rsid w:val="00C07DDA"/>
    <w:rsid w:val="00C15882"/>
    <w:rsid w:val="00C22590"/>
    <w:rsid w:val="00CE177F"/>
    <w:rsid w:val="00D23B48"/>
    <w:rsid w:val="00D358F8"/>
    <w:rsid w:val="00D7296D"/>
    <w:rsid w:val="00DA6DBA"/>
    <w:rsid w:val="00DF322F"/>
    <w:rsid w:val="00E92677"/>
    <w:rsid w:val="00F67F27"/>
    <w:rsid w:val="00FA22F4"/>
    <w:rsid w:val="00FD5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7ACD"/>
  <w15:chartTrackingRefBased/>
  <w15:docId w15:val="{3EE657AF-DFE4-49E7-B298-AD826D6F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33148"/>
    <w:pPr>
      <w:widowControl w:val="0"/>
      <w:spacing w:after="0" w:line="240" w:lineRule="auto"/>
      <w:ind w:left="452"/>
    </w:pPr>
    <w:rPr>
      <w:rFonts w:ascii="Times New Roman" w:eastAsia="Times New Roman" w:hAnsi="Times New Roman"/>
      <w:sz w:val="24"/>
      <w:szCs w:val="24"/>
      <w:lang w:val="en-US"/>
    </w:rPr>
  </w:style>
  <w:style w:type="character" w:customStyle="1" w:styleId="CorpotestoCarattere">
    <w:name w:val="Corpo testo Carattere"/>
    <w:basedOn w:val="Carpredefinitoparagrafo"/>
    <w:link w:val="Corpotesto"/>
    <w:uiPriority w:val="1"/>
    <w:rsid w:val="00933148"/>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1594</Words>
  <Characters>9090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CAPPONI</dc:creator>
  <cp:keywords/>
  <dc:description/>
  <cp:lastModifiedBy>PIER PAOLO CAPPONI</cp:lastModifiedBy>
  <cp:revision>4</cp:revision>
  <dcterms:created xsi:type="dcterms:W3CDTF">2017-10-27T13:59:00Z</dcterms:created>
  <dcterms:modified xsi:type="dcterms:W3CDTF">2017-10-27T14:00:00Z</dcterms:modified>
</cp:coreProperties>
</file>