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7E6" w:rsidRDefault="000A7381" w:rsidP="00D024FC">
      <w:pPr>
        <w:jc w:val="both"/>
        <w:rPr>
          <w:rFonts w:ascii="Times New Roman" w:hAnsi="Times New Roman" w:cs="Times New Roman"/>
          <w:sz w:val="28"/>
          <w:szCs w:val="28"/>
        </w:rPr>
      </w:pPr>
      <w:r w:rsidRPr="000A7381">
        <w:rPr>
          <w:rFonts w:ascii="Times New Roman" w:hAnsi="Times New Roman" w:cs="Times New Roman"/>
          <w:sz w:val="28"/>
          <w:szCs w:val="28"/>
        </w:rPr>
        <w:t>COMMENTO ALL</w:t>
      </w:r>
      <w:r w:rsidR="00937A96">
        <w:rPr>
          <w:rFonts w:ascii="Times New Roman" w:hAnsi="Times New Roman" w:cs="Times New Roman"/>
          <w:sz w:val="28"/>
          <w:szCs w:val="28"/>
        </w:rPr>
        <w:t>’ORDINANZA</w:t>
      </w:r>
      <w:r w:rsidRPr="000A7381">
        <w:rPr>
          <w:rFonts w:ascii="Times New Roman" w:hAnsi="Times New Roman" w:cs="Times New Roman"/>
          <w:sz w:val="28"/>
          <w:szCs w:val="28"/>
        </w:rPr>
        <w:t xml:space="preserve"> N. 1</w:t>
      </w:r>
      <w:r w:rsidR="000257E6">
        <w:rPr>
          <w:rFonts w:ascii="Times New Roman" w:hAnsi="Times New Roman" w:cs="Times New Roman"/>
          <w:sz w:val="28"/>
          <w:szCs w:val="28"/>
        </w:rPr>
        <w:t>4477</w:t>
      </w:r>
      <w:r w:rsidRPr="000A7381">
        <w:rPr>
          <w:rFonts w:ascii="Times New Roman" w:hAnsi="Times New Roman" w:cs="Times New Roman"/>
          <w:sz w:val="28"/>
          <w:szCs w:val="28"/>
        </w:rPr>
        <w:t xml:space="preserve"> DEL 2</w:t>
      </w:r>
      <w:r w:rsidR="000257E6">
        <w:rPr>
          <w:rFonts w:ascii="Times New Roman" w:hAnsi="Times New Roman" w:cs="Times New Roman"/>
          <w:sz w:val="28"/>
          <w:szCs w:val="28"/>
        </w:rPr>
        <w:t>8</w:t>
      </w:r>
      <w:r w:rsidRPr="000A7381">
        <w:rPr>
          <w:rFonts w:ascii="Times New Roman" w:hAnsi="Times New Roman" w:cs="Times New Roman"/>
          <w:sz w:val="28"/>
          <w:szCs w:val="28"/>
        </w:rPr>
        <w:t>-</w:t>
      </w:r>
      <w:r w:rsidR="000257E6">
        <w:rPr>
          <w:rFonts w:ascii="Times New Roman" w:hAnsi="Times New Roman" w:cs="Times New Roman"/>
          <w:sz w:val="28"/>
          <w:szCs w:val="28"/>
        </w:rPr>
        <w:t>1</w:t>
      </w:r>
      <w:r w:rsidRPr="000A7381">
        <w:rPr>
          <w:rFonts w:ascii="Times New Roman" w:hAnsi="Times New Roman" w:cs="Times New Roman"/>
          <w:sz w:val="28"/>
          <w:szCs w:val="28"/>
        </w:rPr>
        <w:t>-201</w:t>
      </w:r>
      <w:r w:rsidR="000257E6">
        <w:rPr>
          <w:rFonts w:ascii="Times New Roman" w:hAnsi="Times New Roman" w:cs="Times New Roman"/>
          <w:sz w:val="28"/>
          <w:szCs w:val="28"/>
        </w:rPr>
        <w:t>8</w:t>
      </w:r>
      <w:r w:rsidRPr="000A7381">
        <w:rPr>
          <w:rFonts w:ascii="Times New Roman" w:hAnsi="Times New Roman" w:cs="Times New Roman"/>
          <w:sz w:val="28"/>
          <w:szCs w:val="28"/>
        </w:rPr>
        <w:t xml:space="preserve"> DEL</w:t>
      </w:r>
      <w:r w:rsidR="000257E6">
        <w:rPr>
          <w:rFonts w:ascii="Times New Roman" w:hAnsi="Times New Roman" w:cs="Times New Roman"/>
          <w:sz w:val="28"/>
          <w:szCs w:val="28"/>
        </w:rPr>
        <w:t xml:space="preserve"> TRIBUNALE DI GENOVA IN MATERIA DI VIOLAZIONE DEL </w:t>
      </w:r>
      <w:r w:rsidR="00291E05">
        <w:rPr>
          <w:rFonts w:ascii="Times New Roman" w:hAnsi="Times New Roman" w:cs="Times New Roman"/>
          <w:sz w:val="28"/>
          <w:szCs w:val="28"/>
        </w:rPr>
        <w:t>DIRITTO</w:t>
      </w:r>
      <w:bookmarkStart w:id="0" w:name="_GoBack"/>
      <w:bookmarkEnd w:id="0"/>
      <w:r w:rsidR="000257E6">
        <w:rPr>
          <w:rFonts w:ascii="Times New Roman" w:hAnsi="Times New Roman" w:cs="Times New Roman"/>
          <w:sz w:val="28"/>
          <w:szCs w:val="28"/>
        </w:rPr>
        <w:t xml:space="preserve"> DI VEDUTA</w:t>
      </w:r>
    </w:p>
    <w:p w:rsidR="000A7381" w:rsidRDefault="000A7381" w:rsidP="00D024FC">
      <w:pPr>
        <w:jc w:val="both"/>
        <w:rPr>
          <w:rFonts w:ascii="Times New Roman" w:hAnsi="Times New Roman" w:cs="Times New Roman"/>
          <w:sz w:val="28"/>
          <w:szCs w:val="28"/>
        </w:rPr>
      </w:pPr>
    </w:p>
    <w:p w:rsidR="000257E6" w:rsidRDefault="000A7381" w:rsidP="00D024FC">
      <w:pPr>
        <w:jc w:val="both"/>
        <w:rPr>
          <w:rFonts w:ascii="Times New Roman" w:hAnsi="Times New Roman" w:cs="Times New Roman"/>
          <w:sz w:val="28"/>
          <w:szCs w:val="28"/>
        </w:rPr>
      </w:pPr>
      <w:r>
        <w:rPr>
          <w:rFonts w:ascii="Times New Roman" w:hAnsi="Times New Roman" w:cs="Times New Roman"/>
          <w:sz w:val="28"/>
          <w:szCs w:val="28"/>
        </w:rPr>
        <w:t>La sentenza i</w:t>
      </w:r>
      <w:r w:rsidR="00566EEA">
        <w:rPr>
          <w:rFonts w:ascii="Times New Roman" w:hAnsi="Times New Roman" w:cs="Times New Roman"/>
          <w:sz w:val="28"/>
          <w:szCs w:val="28"/>
        </w:rPr>
        <w:t>n</w:t>
      </w:r>
      <w:r w:rsidR="00DA7AAF">
        <w:rPr>
          <w:rFonts w:ascii="Times New Roman" w:hAnsi="Times New Roman" w:cs="Times New Roman"/>
          <w:sz w:val="28"/>
          <w:szCs w:val="28"/>
        </w:rPr>
        <w:t xml:space="preserve"> epigrafe affronta un’</w:t>
      </w:r>
      <w:r>
        <w:rPr>
          <w:rFonts w:ascii="Times New Roman" w:hAnsi="Times New Roman" w:cs="Times New Roman"/>
          <w:sz w:val="28"/>
          <w:szCs w:val="28"/>
        </w:rPr>
        <w:t>i</w:t>
      </w:r>
      <w:r w:rsidR="00566EEA">
        <w:rPr>
          <w:rFonts w:ascii="Times New Roman" w:hAnsi="Times New Roman" w:cs="Times New Roman"/>
          <w:sz w:val="28"/>
          <w:szCs w:val="28"/>
        </w:rPr>
        <w:t xml:space="preserve">nteressante problematica in materia di </w:t>
      </w:r>
      <w:r w:rsidR="000257E6">
        <w:rPr>
          <w:rFonts w:ascii="Times New Roman" w:hAnsi="Times New Roman" w:cs="Times New Roman"/>
          <w:sz w:val="28"/>
          <w:szCs w:val="28"/>
        </w:rPr>
        <w:t>violazione del diritto di veduta.</w:t>
      </w:r>
    </w:p>
    <w:p w:rsidR="000257E6" w:rsidRDefault="000257E6" w:rsidP="00D024FC">
      <w:pPr>
        <w:jc w:val="both"/>
        <w:rPr>
          <w:rFonts w:ascii="Times New Roman" w:hAnsi="Times New Roman" w:cs="Times New Roman"/>
          <w:sz w:val="28"/>
          <w:szCs w:val="28"/>
        </w:rPr>
      </w:pPr>
      <w:r>
        <w:rPr>
          <w:rFonts w:ascii="Times New Roman" w:hAnsi="Times New Roman" w:cs="Times New Roman"/>
          <w:sz w:val="28"/>
          <w:szCs w:val="28"/>
        </w:rPr>
        <w:t>Una condomina è titolare di una servitù di veduta su un fondo di un altro condomino.</w:t>
      </w:r>
    </w:p>
    <w:p w:rsidR="000257E6" w:rsidRDefault="000257E6" w:rsidP="00D024FC">
      <w:pPr>
        <w:jc w:val="both"/>
        <w:rPr>
          <w:rFonts w:ascii="Times New Roman" w:hAnsi="Times New Roman" w:cs="Times New Roman"/>
          <w:sz w:val="28"/>
          <w:szCs w:val="28"/>
        </w:rPr>
      </w:pPr>
      <w:r>
        <w:rPr>
          <w:rFonts w:ascii="Times New Roman" w:hAnsi="Times New Roman" w:cs="Times New Roman"/>
          <w:sz w:val="28"/>
          <w:szCs w:val="28"/>
        </w:rPr>
        <w:t>Il fondo dominante è una scala all’aperto e quello servente un cortile.</w:t>
      </w:r>
    </w:p>
    <w:p w:rsidR="000257E6" w:rsidRDefault="000257E6" w:rsidP="00D024FC">
      <w:pPr>
        <w:jc w:val="both"/>
        <w:rPr>
          <w:rFonts w:ascii="Times New Roman" w:hAnsi="Times New Roman" w:cs="Times New Roman"/>
          <w:sz w:val="28"/>
          <w:szCs w:val="28"/>
        </w:rPr>
      </w:pPr>
      <w:r>
        <w:rPr>
          <w:rFonts w:ascii="Times New Roman" w:hAnsi="Times New Roman" w:cs="Times New Roman"/>
          <w:sz w:val="28"/>
          <w:szCs w:val="28"/>
        </w:rPr>
        <w:t>Il fatto che la servitù v</w:t>
      </w:r>
      <w:r w:rsidR="00937A96">
        <w:rPr>
          <w:rFonts w:ascii="Times New Roman" w:hAnsi="Times New Roman" w:cs="Times New Roman"/>
          <w:sz w:val="28"/>
          <w:szCs w:val="28"/>
        </w:rPr>
        <w:t>enga</w:t>
      </w:r>
      <w:r>
        <w:rPr>
          <w:rFonts w:ascii="Times New Roman" w:hAnsi="Times New Roman" w:cs="Times New Roman"/>
          <w:sz w:val="28"/>
          <w:szCs w:val="28"/>
        </w:rPr>
        <w:t xml:space="preserve"> esercitata da una scala non ha creato particolari problemi a</w:t>
      </w:r>
      <w:r w:rsidR="00937A96">
        <w:rPr>
          <w:rFonts w:ascii="Times New Roman" w:hAnsi="Times New Roman" w:cs="Times New Roman"/>
          <w:sz w:val="28"/>
          <w:szCs w:val="28"/>
        </w:rPr>
        <w:t>i</w:t>
      </w:r>
      <w:r>
        <w:rPr>
          <w:rFonts w:ascii="Times New Roman" w:hAnsi="Times New Roman" w:cs="Times New Roman"/>
          <w:sz w:val="28"/>
          <w:szCs w:val="28"/>
        </w:rPr>
        <w:t xml:space="preserve"> giudic</w:t>
      </w:r>
      <w:r w:rsidR="00937A96">
        <w:rPr>
          <w:rFonts w:ascii="Times New Roman" w:hAnsi="Times New Roman" w:cs="Times New Roman"/>
          <w:sz w:val="28"/>
          <w:szCs w:val="28"/>
        </w:rPr>
        <w:t>i</w:t>
      </w:r>
      <w:r>
        <w:rPr>
          <w:rFonts w:ascii="Times New Roman" w:hAnsi="Times New Roman" w:cs="Times New Roman"/>
          <w:sz w:val="28"/>
          <w:szCs w:val="28"/>
        </w:rPr>
        <w:t>, che ne ha</w:t>
      </w:r>
      <w:r w:rsidR="00937A96">
        <w:rPr>
          <w:rFonts w:ascii="Times New Roman" w:hAnsi="Times New Roman" w:cs="Times New Roman"/>
          <w:sz w:val="28"/>
          <w:szCs w:val="28"/>
        </w:rPr>
        <w:t>nno</w:t>
      </w:r>
      <w:r>
        <w:rPr>
          <w:rFonts w:ascii="Times New Roman" w:hAnsi="Times New Roman" w:cs="Times New Roman"/>
          <w:sz w:val="28"/>
          <w:szCs w:val="28"/>
        </w:rPr>
        <w:t xml:space="preserve"> riconosciuto l’esistenza</w:t>
      </w:r>
      <w:r w:rsidR="00937A96">
        <w:rPr>
          <w:rFonts w:ascii="Times New Roman" w:hAnsi="Times New Roman" w:cs="Times New Roman"/>
          <w:sz w:val="28"/>
          <w:szCs w:val="28"/>
        </w:rPr>
        <w:t xml:space="preserve"> (anche perché essa era titolata, cioè contenuta in un atto notarile).</w:t>
      </w:r>
    </w:p>
    <w:p w:rsidR="0041761E" w:rsidRDefault="000257E6" w:rsidP="00D024FC">
      <w:pPr>
        <w:jc w:val="both"/>
        <w:rPr>
          <w:rFonts w:ascii="Times New Roman" w:hAnsi="Times New Roman" w:cs="Times New Roman"/>
          <w:sz w:val="28"/>
          <w:szCs w:val="28"/>
        </w:rPr>
      </w:pPr>
      <w:r>
        <w:rPr>
          <w:rFonts w:ascii="Times New Roman" w:hAnsi="Times New Roman" w:cs="Times New Roman"/>
          <w:sz w:val="28"/>
          <w:szCs w:val="28"/>
        </w:rPr>
        <w:t xml:space="preserve">La condomina non ha avuto ragione perché </w:t>
      </w:r>
      <w:r w:rsidR="0041761E">
        <w:rPr>
          <w:rFonts w:ascii="Times New Roman" w:hAnsi="Times New Roman" w:cs="Times New Roman"/>
          <w:sz w:val="28"/>
          <w:szCs w:val="28"/>
        </w:rPr>
        <w:t xml:space="preserve">il </w:t>
      </w:r>
      <w:r w:rsidR="00937A96">
        <w:rPr>
          <w:rFonts w:ascii="Times New Roman" w:hAnsi="Times New Roman" w:cs="Times New Roman"/>
          <w:sz w:val="28"/>
          <w:szCs w:val="28"/>
        </w:rPr>
        <w:t>Tribunale di Genova, in sede di reclamo,</w:t>
      </w:r>
      <w:r w:rsidR="0041761E">
        <w:rPr>
          <w:rFonts w:ascii="Times New Roman" w:hAnsi="Times New Roman" w:cs="Times New Roman"/>
          <w:sz w:val="28"/>
          <w:szCs w:val="28"/>
        </w:rPr>
        <w:t xml:space="preserve"> ha ritenuto che la costruzione di una soletta </w:t>
      </w:r>
      <w:r w:rsidR="00937A96">
        <w:rPr>
          <w:rFonts w:ascii="Times New Roman" w:hAnsi="Times New Roman" w:cs="Times New Roman"/>
          <w:sz w:val="28"/>
          <w:szCs w:val="28"/>
        </w:rPr>
        <w:t xml:space="preserve">e di un pilastrino in cemento </w:t>
      </w:r>
      <w:r w:rsidR="0041761E">
        <w:rPr>
          <w:rFonts w:ascii="Times New Roman" w:hAnsi="Times New Roman" w:cs="Times New Roman"/>
          <w:sz w:val="28"/>
          <w:szCs w:val="28"/>
        </w:rPr>
        <w:t>sul fondo servente non fossero tali da ledere il diritto di servitù.</w:t>
      </w:r>
    </w:p>
    <w:p w:rsidR="0041761E" w:rsidRDefault="0041761E" w:rsidP="00D024FC">
      <w:pPr>
        <w:jc w:val="both"/>
        <w:rPr>
          <w:rFonts w:ascii="Times New Roman" w:hAnsi="Times New Roman" w:cs="Times New Roman"/>
          <w:sz w:val="28"/>
          <w:szCs w:val="28"/>
        </w:rPr>
      </w:pPr>
      <w:r>
        <w:rPr>
          <w:rFonts w:ascii="Times New Roman" w:hAnsi="Times New Roman" w:cs="Times New Roman"/>
          <w:sz w:val="28"/>
          <w:szCs w:val="28"/>
        </w:rPr>
        <w:t>Secondo la sentenza “</w:t>
      </w:r>
      <w:r w:rsidRPr="00937A96">
        <w:rPr>
          <w:rFonts w:ascii="Times New Roman" w:hAnsi="Times New Roman" w:cs="Times New Roman"/>
          <w:i/>
          <w:sz w:val="28"/>
          <w:szCs w:val="28"/>
        </w:rPr>
        <w:t xml:space="preserve">integrano molestie rilevanti ai fini dell’accoglimento dell’azione di manutenzione di cui all’art. 1170 c.c. solo quei comportamenti che abbiano un </w:t>
      </w:r>
      <w:r w:rsidRPr="00937A96">
        <w:rPr>
          <w:rFonts w:ascii="Times New Roman" w:hAnsi="Times New Roman" w:cs="Times New Roman"/>
          <w:b/>
          <w:i/>
          <w:sz w:val="28"/>
          <w:szCs w:val="28"/>
        </w:rPr>
        <w:t>congruo ed apprezzabile contenuto di disturbo del possesso altrui</w:t>
      </w:r>
      <w:r w:rsidRPr="00937A96">
        <w:rPr>
          <w:rFonts w:ascii="Times New Roman" w:hAnsi="Times New Roman" w:cs="Times New Roman"/>
          <w:i/>
          <w:sz w:val="28"/>
          <w:szCs w:val="28"/>
        </w:rPr>
        <w:t xml:space="preserve"> e denotino di per sé una pretesa dell’agente in contrasto con la posizione del possessore, così da rendere impossibile, gravoso oppure notevolmente difficoltoso l’estrinsecarsi di tale posizione. Sono, pertanto, esclusi quei comportamenti che, come quelli oggetto della presente causa, siano compatibili con il potere di fatto, non compromettendolo, né limitandolo apprezzabilmente”</w:t>
      </w:r>
      <w:r>
        <w:rPr>
          <w:rFonts w:ascii="Times New Roman" w:hAnsi="Times New Roman" w:cs="Times New Roman"/>
          <w:sz w:val="28"/>
          <w:szCs w:val="28"/>
        </w:rPr>
        <w:t>.</w:t>
      </w:r>
    </w:p>
    <w:p w:rsidR="00C07DDA" w:rsidRDefault="009F4BAE" w:rsidP="00D024FC">
      <w:pPr>
        <w:jc w:val="both"/>
        <w:rPr>
          <w:rFonts w:ascii="Times New Roman" w:hAnsi="Times New Roman" w:cs="Times New Roman"/>
          <w:sz w:val="28"/>
          <w:szCs w:val="28"/>
        </w:rPr>
      </w:pPr>
      <w:r>
        <w:rPr>
          <w:rFonts w:ascii="Times New Roman" w:hAnsi="Times New Roman" w:cs="Times New Roman"/>
          <w:sz w:val="28"/>
          <w:szCs w:val="28"/>
        </w:rPr>
        <w:t>L’ordinanza è stata basata sul richiamo ad alcune sentenze della Suprema Corte, tra le quali Cass. n. 1743/2005</w:t>
      </w:r>
      <w:r w:rsidR="00DD46C2">
        <w:rPr>
          <w:rFonts w:ascii="Times New Roman" w:hAnsi="Times New Roman" w:cs="Times New Roman"/>
          <w:sz w:val="28"/>
          <w:szCs w:val="28"/>
        </w:rPr>
        <w:t xml:space="preserve"> </w:t>
      </w:r>
      <w:r>
        <w:rPr>
          <w:rFonts w:ascii="Times New Roman" w:hAnsi="Times New Roman" w:cs="Times New Roman"/>
          <w:sz w:val="28"/>
          <w:szCs w:val="28"/>
        </w:rPr>
        <w:t>che così recita: “</w:t>
      </w:r>
      <w:r w:rsidRPr="009F4BAE">
        <w:rPr>
          <w:rFonts w:ascii="Times New Roman" w:hAnsi="Times New Roman" w:cs="Times New Roman"/>
          <w:i/>
          <w:sz w:val="28"/>
          <w:szCs w:val="28"/>
        </w:rPr>
        <w:t xml:space="preserve">Ebbene, posto che per costante giurisprudenza di legittimità (tra le tante Cass. N. 10819/2001) non ogni modifica apportata da un terzo alla situazione oggettiva in cui si sostanzia il possesso costituisce spoglio o turbativa </w:t>
      </w:r>
      <w:r w:rsidRPr="009F4BAE">
        <w:rPr>
          <w:rFonts w:ascii="Times New Roman" w:hAnsi="Times New Roman" w:cs="Times New Roman"/>
          <w:b/>
          <w:i/>
          <w:sz w:val="28"/>
          <w:szCs w:val="28"/>
        </w:rPr>
        <w:t>essendo sempre necessario che tale modifica comprometta in modo giuridicamente apprezzabile l'esercizio del possesso</w:t>
      </w:r>
      <w:r w:rsidRPr="009F4BAE">
        <w:rPr>
          <w:rFonts w:ascii="Times New Roman" w:hAnsi="Times New Roman" w:cs="Times New Roman"/>
          <w:i/>
          <w:sz w:val="28"/>
          <w:szCs w:val="28"/>
        </w:rPr>
        <w:t xml:space="preserve"> (principio affermato in relazione alla costruzione di un muro comportante riduzione di un'area destinata a servitù di passaggio,senza,che però ne risultasse impedito il transito anche veicolare), non è chi non veda come, con apprezzamento di fatto non solo completo ed esauriente ma altresì sorretto da motivazione adeguata, esente da vizi logici e da errori giuridici e come tale insindacabile nell'attuale sede, il Tribunale tarantino ha escluso la individuazione nella condotta del Carro,con riferimento alla rampa di accesso al fondo, le caratteristiche dello spoglio o della molestia possessoria.</w:t>
      </w:r>
      <w:r>
        <w:rPr>
          <w:rFonts w:ascii="Times New Roman" w:hAnsi="Times New Roman" w:cs="Times New Roman"/>
          <w:sz w:val="28"/>
          <w:szCs w:val="28"/>
        </w:rPr>
        <w:t>”</w:t>
      </w:r>
    </w:p>
    <w:p w:rsidR="009F4BAE" w:rsidRDefault="009F4BAE" w:rsidP="00D024FC">
      <w:pPr>
        <w:jc w:val="both"/>
        <w:rPr>
          <w:rFonts w:ascii="Times New Roman" w:hAnsi="Times New Roman" w:cs="Times New Roman"/>
          <w:sz w:val="28"/>
          <w:szCs w:val="28"/>
        </w:rPr>
      </w:pPr>
    </w:p>
    <w:p w:rsidR="009F4BAE" w:rsidRPr="00937A96" w:rsidRDefault="009F4BAE" w:rsidP="009F4BAE">
      <w:pPr>
        <w:jc w:val="both"/>
        <w:rPr>
          <w:rFonts w:ascii="Times New Roman" w:hAnsi="Times New Roman" w:cs="Times New Roman"/>
          <w:i/>
          <w:sz w:val="28"/>
          <w:szCs w:val="28"/>
        </w:rPr>
      </w:pPr>
      <w:r>
        <w:rPr>
          <w:rFonts w:ascii="Times New Roman" w:hAnsi="Times New Roman" w:cs="Times New Roman"/>
          <w:sz w:val="28"/>
          <w:szCs w:val="28"/>
        </w:rPr>
        <w:t>Nello stesso senso Cass. n. 11036/2003: “</w:t>
      </w:r>
      <w:r w:rsidRPr="009F4BAE">
        <w:rPr>
          <w:rFonts w:ascii="Times New Roman" w:hAnsi="Times New Roman" w:cs="Times New Roman"/>
          <w:i/>
          <w:sz w:val="28"/>
          <w:szCs w:val="28"/>
        </w:rPr>
        <w:t xml:space="preserve">In base agli accertamenti peritali e alle prove testimoniali il Tribunale ha escluso che la situazione dei luoghi fosse stata immutata </w:t>
      </w:r>
      <w:r w:rsidRPr="009F4BAE">
        <w:rPr>
          <w:rFonts w:ascii="Times New Roman" w:hAnsi="Times New Roman" w:cs="Times New Roman"/>
          <w:i/>
          <w:sz w:val="28"/>
          <w:szCs w:val="28"/>
        </w:rPr>
        <w:lastRenderedPageBreak/>
        <w:t xml:space="preserve">dalla controparte in modo tale da modificare, restringere, recare pregiudizio o modificare </w:t>
      </w:r>
      <w:r w:rsidRPr="009F4BAE">
        <w:rPr>
          <w:rFonts w:ascii="Times New Roman" w:hAnsi="Times New Roman" w:cs="Times New Roman"/>
          <w:b/>
          <w:i/>
          <w:sz w:val="28"/>
          <w:szCs w:val="28"/>
        </w:rPr>
        <w:t>apprezzabilmente</w:t>
      </w:r>
      <w:r w:rsidRPr="009F4BAE">
        <w:rPr>
          <w:rFonts w:ascii="Times New Roman" w:hAnsi="Times New Roman" w:cs="Times New Roman"/>
          <w:i/>
          <w:sz w:val="28"/>
          <w:szCs w:val="28"/>
        </w:rPr>
        <w:t xml:space="preserve"> l'esercizio del legittimo possesso altrui.</w:t>
      </w:r>
      <w:r w:rsidR="00937A96">
        <w:rPr>
          <w:rFonts w:ascii="Times New Roman" w:hAnsi="Times New Roman" w:cs="Times New Roman"/>
          <w:i/>
          <w:sz w:val="28"/>
          <w:szCs w:val="28"/>
        </w:rPr>
        <w:t xml:space="preserve"> </w:t>
      </w:r>
      <w:r w:rsidRPr="009F4BAE">
        <w:rPr>
          <w:rFonts w:ascii="Times New Roman" w:hAnsi="Times New Roman" w:cs="Times New Roman"/>
          <w:i/>
          <w:sz w:val="28"/>
          <w:szCs w:val="28"/>
        </w:rPr>
        <w:t xml:space="preserve">L'elemento quantitativo, pure citato nella sentenza impugnata, non costituisce, da solo, la "ratio" della sentenza, ma va ad integrare le ben più ampie valutazioni svolte circa la carenza, nel comportamento del Butteri, di un </w:t>
      </w:r>
      <w:r w:rsidRPr="009F4BAE">
        <w:rPr>
          <w:rFonts w:ascii="Times New Roman" w:hAnsi="Times New Roman" w:cs="Times New Roman"/>
          <w:b/>
          <w:i/>
          <w:sz w:val="28"/>
          <w:szCs w:val="28"/>
        </w:rPr>
        <w:t>apprezzabile</w:t>
      </w:r>
      <w:r w:rsidRPr="009F4BAE">
        <w:rPr>
          <w:rFonts w:ascii="Times New Roman" w:hAnsi="Times New Roman" w:cs="Times New Roman"/>
          <w:i/>
          <w:sz w:val="28"/>
          <w:szCs w:val="28"/>
        </w:rPr>
        <w:t xml:space="preserve"> contenuto di disturbo del possesso altrui e non aveva reso ne più gravoso né notevolmente difficoltoso l'estrinsecarsi della posizione del possessore</w:t>
      </w:r>
      <w:r>
        <w:rPr>
          <w:rFonts w:ascii="Times New Roman" w:hAnsi="Times New Roman" w:cs="Times New Roman"/>
          <w:sz w:val="28"/>
          <w:szCs w:val="28"/>
        </w:rPr>
        <w:t>”.</w:t>
      </w:r>
    </w:p>
    <w:p w:rsidR="009F4BAE" w:rsidRDefault="009F4BAE" w:rsidP="009F4BAE">
      <w:pPr>
        <w:jc w:val="both"/>
        <w:rPr>
          <w:rFonts w:ascii="Times New Roman" w:hAnsi="Times New Roman" w:cs="Times New Roman"/>
          <w:i/>
          <w:sz w:val="28"/>
          <w:szCs w:val="28"/>
        </w:rPr>
      </w:pPr>
      <w:r>
        <w:rPr>
          <w:rFonts w:ascii="Times New Roman" w:hAnsi="Times New Roman" w:cs="Times New Roman"/>
          <w:sz w:val="28"/>
          <w:szCs w:val="28"/>
        </w:rPr>
        <w:t>Il difensore della condomina titolare del diritto di servitù aveva però citato Cass.</w:t>
      </w:r>
      <w:r w:rsidR="00F74010">
        <w:rPr>
          <w:rFonts w:ascii="Times New Roman" w:hAnsi="Times New Roman" w:cs="Times New Roman"/>
          <w:sz w:val="28"/>
          <w:szCs w:val="28"/>
        </w:rPr>
        <w:t xml:space="preserve"> n. 955/2013 secondo la quale: “</w:t>
      </w:r>
      <w:r w:rsidR="00F74010" w:rsidRPr="00F74010">
        <w:rPr>
          <w:rFonts w:ascii="Times New Roman" w:hAnsi="Times New Roman" w:cs="Times New Roman"/>
          <w:i/>
          <w:sz w:val="28"/>
          <w:szCs w:val="28"/>
        </w:rPr>
        <w:t>A tal riguardo, si è anche precisato (Cass., 31 maggio 2011, n. 12033) che "l'obbligo di costruire a non meno di tre metri dalle vedute dirette aperte nella costruzione esistente sul fondo vicino, di cui </w:t>
      </w:r>
      <w:hyperlink r:id="rId6" w:history="1">
        <w:r w:rsidR="00F74010" w:rsidRPr="00F74010">
          <w:rPr>
            <w:rFonts w:ascii="Times New Roman" w:hAnsi="Times New Roman" w:cs="Times New Roman"/>
            <w:i/>
            <w:sz w:val="28"/>
            <w:szCs w:val="28"/>
          </w:rPr>
          <w:t>all'art. 907 c.c.</w:t>
        </w:r>
      </w:hyperlink>
      <w:r w:rsidR="00F74010" w:rsidRPr="00F74010">
        <w:rPr>
          <w:rFonts w:ascii="Times New Roman" w:hAnsi="Times New Roman" w:cs="Times New Roman"/>
          <w:i/>
          <w:sz w:val="28"/>
          <w:szCs w:val="28"/>
        </w:rPr>
        <w:t xml:space="preserve">, ha </w:t>
      </w:r>
      <w:r w:rsidR="00F74010" w:rsidRPr="00F74010">
        <w:rPr>
          <w:rFonts w:ascii="Times New Roman" w:hAnsi="Times New Roman" w:cs="Times New Roman"/>
          <w:b/>
          <w:i/>
          <w:sz w:val="28"/>
          <w:szCs w:val="28"/>
        </w:rPr>
        <w:t xml:space="preserve">natura assoluta </w:t>
      </w:r>
      <w:r w:rsidR="00F74010" w:rsidRPr="00F74010">
        <w:rPr>
          <w:rFonts w:ascii="Times New Roman" w:hAnsi="Times New Roman" w:cs="Times New Roman"/>
          <w:i/>
          <w:sz w:val="28"/>
          <w:szCs w:val="28"/>
        </w:rPr>
        <w:t>e va osservato anche quando l'erigenda costruzione non sia tale da impedire di fatto l'esercizio della veduta mentre una valutazione circa l'idoneità dell'opera ad ostacolare il diritto di veduta può venire in rilievo soltanto quando si intenda erigere un manufatto diverso da una costruzione in senso tecnico".</w:t>
      </w:r>
    </w:p>
    <w:p w:rsidR="00F74010" w:rsidRPr="00937A96" w:rsidRDefault="00F74010" w:rsidP="00F74010">
      <w:pPr>
        <w:jc w:val="both"/>
        <w:rPr>
          <w:rFonts w:ascii="Times New Roman" w:hAnsi="Times New Roman" w:cs="Times New Roman"/>
          <w:b/>
          <w:i/>
          <w:sz w:val="28"/>
          <w:szCs w:val="28"/>
        </w:rPr>
      </w:pPr>
      <w:r>
        <w:rPr>
          <w:rFonts w:ascii="Times New Roman" w:hAnsi="Times New Roman" w:cs="Times New Roman"/>
          <w:sz w:val="28"/>
          <w:szCs w:val="28"/>
        </w:rPr>
        <w:t>Nello stesso senso, ma ancor più esplicativa, Cass. n. 12033/2011: “</w:t>
      </w:r>
      <w:hyperlink r:id="rId7" w:history="1">
        <w:r w:rsidRPr="00F74010">
          <w:rPr>
            <w:rFonts w:ascii="Times New Roman" w:hAnsi="Times New Roman" w:cs="Times New Roman"/>
            <w:i/>
            <w:sz w:val="28"/>
            <w:szCs w:val="28"/>
          </w:rPr>
          <w:t>L'art. 907 cod. civ.</w:t>
        </w:r>
      </w:hyperlink>
      <w:r w:rsidRPr="00F74010">
        <w:rPr>
          <w:rFonts w:ascii="Times New Roman" w:hAnsi="Times New Roman" w:cs="Times New Roman"/>
          <w:i/>
          <w:sz w:val="28"/>
          <w:szCs w:val="28"/>
        </w:rPr>
        <w:t xml:space="preserve">, che vieta di costruire a distanza inferiore di tre metri dalle vedute dirette aperte sulla costruzione del fondo finitimo, pone un </w:t>
      </w:r>
      <w:r w:rsidRPr="00F74010">
        <w:rPr>
          <w:rFonts w:ascii="Times New Roman" w:hAnsi="Times New Roman" w:cs="Times New Roman"/>
          <w:b/>
          <w:i/>
          <w:sz w:val="28"/>
          <w:szCs w:val="28"/>
        </w:rPr>
        <w:t>divieto assoluto</w:t>
      </w:r>
      <w:r w:rsidRPr="00F74010">
        <w:rPr>
          <w:rFonts w:ascii="Times New Roman" w:hAnsi="Times New Roman" w:cs="Times New Roman"/>
          <w:i/>
          <w:sz w:val="28"/>
          <w:szCs w:val="28"/>
        </w:rPr>
        <w:t xml:space="preserve">, la cui violazione si realizza in forza del mero fatto che la costruzione è a distanza inferiore a quella stabilita, </w:t>
      </w:r>
      <w:r w:rsidRPr="00F74010">
        <w:rPr>
          <w:rFonts w:ascii="Times New Roman" w:hAnsi="Times New Roman" w:cs="Times New Roman"/>
          <w:b/>
          <w:i/>
          <w:sz w:val="28"/>
          <w:szCs w:val="28"/>
        </w:rPr>
        <w:t>a prescindere da ogni valutazione in concreto se essa sia o meno idonea ad impedire o ad ostacolare l'esercizio della veduta</w:t>
      </w:r>
      <w:r w:rsidRPr="00F74010">
        <w:rPr>
          <w:rFonts w:ascii="Times New Roman" w:hAnsi="Times New Roman" w:cs="Times New Roman"/>
          <w:i/>
          <w:sz w:val="28"/>
          <w:szCs w:val="28"/>
        </w:rPr>
        <w:t xml:space="preserve"> (Cass. n. 11199 del 2000; Cass. n. 12299 del 1997). La norma codicistica infatti enuclea in favore del titolare della veduta un diritto perfetto al rispetto della distanza legale da parte della costruzione del vicino, senza introdurre ulteriori condizioni. La soddisfazione di tale diritto non può rimanere pertanto condizionata dalle caratteristiche dell'opera eretta dal vicino, una volta che essa abbia i caratteri della costruzione in senso proprio, così come previsto dalla norma, che usa il termine "fabbricare", da cui è enucleabile il sostantivo "fabbricato" o "costruzione".</w:t>
      </w:r>
      <w:r w:rsidR="00937A96">
        <w:rPr>
          <w:rFonts w:ascii="Times New Roman" w:hAnsi="Times New Roman" w:cs="Times New Roman"/>
          <w:i/>
          <w:sz w:val="28"/>
          <w:szCs w:val="28"/>
        </w:rPr>
        <w:t xml:space="preserve"> </w:t>
      </w:r>
      <w:r w:rsidRPr="00F74010">
        <w:rPr>
          <w:rFonts w:ascii="Times New Roman" w:hAnsi="Times New Roman" w:cs="Times New Roman"/>
          <w:i/>
          <w:sz w:val="28"/>
          <w:szCs w:val="28"/>
        </w:rPr>
        <w:t>Non divergono da tale principio le pronunce di questa Corte - richiamate nel ricorso - che, in determinati casi, ai fini della tutela del diritto di veduta, richiedono una valutazione circa l'idoneità dell'opera del vicino ad ostacolarne l'esercizio, valorizzando, in tale prospettiva, la finalità della norma, che è indubbiamente quella di assicurare al titolare del diritto una quantità sufficiente di aria e di luce e di consentirgli la ispectio e la prospectio nel fondo altrui (Cass. n. 5764 del 2004; Cass. n. 1598 del 1993</w:t>
      </w:r>
      <w:r w:rsidRPr="00F74010">
        <w:rPr>
          <w:rFonts w:ascii="Times New Roman" w:hAnsi="Times New Roman" w:cs="Times New Roman"/>
          <w:b/>
          <w:i/>
          <w:sz w:val="28"/>
          <w:szCs w:val="28"/>
        </w:rPr>
        <w:t>). La lettura di tali decisioni dimostra che tale valutazione è ritenuta necessaria non in tutti i casi, ma soltanto laddove l'opera eseguita non integri un fabbricato in senso tecnico e proprio, ma un manufatto diverso (quale ad esempio una rete plastificata o una recinzione in telo),</w:t>
      </w:r>
      <w:r w:rsidRPr="00F74010">
        <w:rPr>
          <w:rFonts w:ascii="Times New Roman" w:hAnsi="Times New Roman" w:cs="Times New Roman"/>
          <w:i/>
          <w:sz w:val="28"/>
          <w:szCs w:val="28"/>
        </w:rPr>
        <w:t xml:space="preserve"> </w:t>
      </w:r>
      <w:r w:rsidRPr="00F74010">
        <w:rPr>
          <w:rFonts w:ascii="Times New Roman" w:hAnsi="Times New Roman" w:cs="Times New Roman"/>
          <w:b/>
          <w:i/>
          <w:sz w:val="28"/>
          <w:szCs w:val="28"/>
        </w:rPr>
        <w:t>non costituente costruzione in senso tecnico, pur nell'accezione molto ampia accolta dalla giurisprudenza</w:t>
      </w:r>
      <w:r w:rsidRPr="00F74010">
        <w:rPr>
          <w:rFonts w:ascii="Times New Roman" w:hAnsi="Times New Roman" w:cs="Times New Roman"/>
          <w:i/>
          <w:sz w:val="28"/>
          <w:szCs w:val="28"/>
        </w:rPr>
        <w:t xml:space="preserve">. Con riferimento a tali manufatti si sostiene che essi, ai fini della tutela del diritto di veduta, appaiono assimilabili al fabbricato soltanto a condizione che effettivamente ne ostacolino l'esercizio. </w:t>
      </w:r>
      <w:r w:rsidRPr="00937A96">
        <w:rPr>
          <w:rFonts w:ascii="Times New Roman" w:hAnsi="Times New Roman" w:cs="Times New Roman"/>
          <w:b/>
          <w:i/>
          <w:sz w:val="28"/>
          <w:szCs w:val="28"/>
        </w:rPr>
        <w:t xml:space="preserve">Per contro, queste stesso orientamento </w:t>
      </w:r>
      <w:r w:rsidRPr="00937A96">
        <w:rPr>
          <w:rFonts w:ascii="Times New Roman" w:hAnsi="Times New Roman" w:cs="Times New Roman"/>
          <w:b/>
          <w:i/>
          <w:sz w:val="28"/>
          <w:szCs w:val="28"/>
        </w:rPr>
        <w:lastRenderedPageBreak/>
        <w:t>conferma che nel caso in cui l'opera abbia le caratteristiche di costruzione in senso proprio tale accertamento non è necessario.</w:t>
      </w:r>
    </w:p>
    <w:p w:rsidR="00F74010" w:rsidRPr="00F74010" w:rsidRDefault="00F74010" w:rsidP="00F74010">
      <w:pPr>
        <w:jc w:val="both"/>
        <w:rPr>
          <w:rFonts w:ascii="Times New Roman" w:hAnsi="Times New Roman" w:cs="Times New Roman"/>
          <w:sz w:val="28"/>
          <w:szCs w:val="28"/>
        </w:rPr>
      </w:pPr>
      <w:r>
        <w:rPr>
          <w:rFonts w:ascii="Times New Roman" w:hAnsi="Times New Roman" w:cs="Times New Roman"/>
          <w:sz w:val="28"/>
          <w:szCs w:val="28"/>
        </w:rPr>
        <w:t xml:space="preserve">E’ evidente come l’ordinanza abbia sbagliato nel decidere, essendo un piastrino e una soletta </w:t>
      </w:r>
      <w:r w:rsidR="00937A96">
        <w:rPr>
          <w:rFonts w:ascii="Times New Roman" w:hAnsi="Times New Roman" w:cs="Times New Roman"/>
          <w:sz w:val="28"/>
          <w:szCs w:val="28"/>
        </w:rPr>
        <w:t xml:space="preserve">in cemento </w:t>
      </w:r>
      <w:r>
        <w:rPr>
          <w:rFonts w:ascii="Times New Roman" w:hAnsi="Times New Roman" w:cs="Times New Roman"/>
          <w:sz w:val="28"/>
          <w:szCs w:val="28"/>
        </w:rPr>
        <w:t xml:space="preserve">senz’altro </w:t>
      </w:r>
      <w:r w:rsidR="00937A96">
        <w:rPr>
          <w:rFonts w:ascii="Times New Roman" w:hAnsi="Times New Roman" w:cs="Times New Roman"/>
          <w:sz w:val="28"/>
          <w:szCs w:val="28"/>
        </w:rPr>
        <w:t>definibili come “costruzioni” in senso tecnico-giuridico.</w:t>
      </w:r>
    </w:p>
    <w:p w:rsidR="00F74010" w:rsidRPr="00FE1E86" w:rsidRDefault="00FE1E86" w:rsidP="009F4BAE">
      <w:pPr>
        <w:jc w:val="both"/>
        <w:rPr>
          <w:rFonts w:ascii="Times New Roman" w:hAnsi="Times New Roman" w:cs="Times New Roman"/>
          <w:sz w:val="28"/>
          <w:szCs w:val="28"/>
        </w:rPr>
      </w:pPr>
      <w:r>
        <w:rPr>
          <w:rFonts w:ascii="Times New Roman" w:hAnsi="Times New Roman" w:cs="Times New Roman"/>
          <w:sz w:val="28"/>
          <w:szCs w:val="28"/>
        </w:rPr>
        <w:t>Ed infatti secondo la giurisprudenza: “</w:t>
      </w:r>
      <w:r w:rsidRPr="00FE1E86">
        <w:rPr>
          <w:rFonts w:ascii="Times New Roman" w:hAnsi="Times New Roman" w:cs="Times New Roman"/>
          <w:i/>
          <w:sz w:val="28"/>
          <w:szCs w:val="28"/>
        </w:rPr>
        <w:t xml:space="preserve">ai fini dell'osservanza delle norme sulle distanze legali di origine codicistica o prescritte dagli strumenti urbanistici in funzione integrativa della disciplina privatistica, la nozione di costruzione non si identifica con quella di edificio ma </w:t>
      </w:r>
      <w:r w:rsidRPr="00FE1E86">
        <w:rPr>
          <w:rFonts w:ascii="Times New Roman" w:hAnsi="Times New Roman" w:cs="Times New Roman"/>
          <w:b/>
          <w:i/>
          <w:sz w:val="28"/>
          <w:szCs w:val="28"/>
        </w:rPr>
        <w:t>si estende a qualsiasi manufatto non completamente interrato che abbia i caratteri della solidità, stabilità, ed immobilizzazione al suolo</w:t>
      </w:r>
      <w:r w:rsidRPr="00FE1E86">
        <w:rPr>
          <w:rFonts w:ascii="Times New Roman" w:hAnsi="Times New Roman" w:cs="Times New Roman"/>
          <w:i/>
          <w:sz w:val="28"/>
          <w:szCs w:val="28"/>
        </w:rPr>
        <w:t>, anche mediante appoggio, incorporazione o collegamento fisso ad un corpo di fabbrica preesistente o contestualmente realizzato, indipendentemente dal livello di posa e di elevazione dell'opera.</w:t>
      </w:r>
      <w:r>
        <w:rPr>
          <w:rFonts w:ascii="Times New Roman" w:hAnsi="Times New Roman" w:cs="Times New Roman"/>
          <w:sz w:val="28"/>
          <w:szCs w:val="28"/>
        </w:rPr>
        <w:t>”. (Ex plurimis, Cass. 13389/2011)</w:t>
      </w:r>
    </w:p>
    <w:p w:rsidR="009F4BAE" w:rsidRPr="009F4BAE" w:rsidRDefault="009F4BAE" w:rsidP="00D024FC">
      <w:pPr>
        <w:jc w:val="both"/>
        <w:rPr>
          <w:rFonts w:ascii="Times New Roman" w:hAnsi="Times New Roman" w:cs="Times New Roman"/>
          <w:sz w:val="28"/>
          <w:szCs w:val="28"/>
        </w:rPr>
      </w:pPr>
    </w:p>
    <w:sectPr w:rsidR="009F4BAE" w:rsidRPr="009F4BA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14C" w:rsidRDefault="00CD514C" w:rsidP="00441080">
      <w:pPr>
        <w:spacing w:after="0" w:line="240" w:lineRule="auto"/>
      </w:pPr>
      <w:r>
        <w:separator/>
      </w:r>
    </w:p>
  </w:endnote>
  <w:endnote w:type="continuationSeparator" w:id="0">
    <w:p w:rsidR="00CD514C" w:rsidRDefault="00CD514C" w:rsidP="00441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14C" w:rsidRDefault="00CD514C" w:rsidP="00441080">
      <w:pPr>
        <w:spacing w:after="0" w:line="240" w:lineRule="auto"/>
      </w:pPr>
      <w:r>
        <w:separator/>
      </w:r>
    </w:p>
  </w:footnote>
  <w:footnote w:type="continuationSeparator" w:id="0">
    <w:p w:rsidR="00CD514C" w:rsidRDefault="00CD514C" w:rsidP="004410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96D"/>
    <w:rsid w:val="000257E6"/>
    <w:rsid w:val="000A7381"/>
    <w:rsid w:val="000A7957"/>
    <w:rsid w:val="000F3666"/>
    <w:rsid w:val="00177302"/>
    <w:rsid w:val="001B0353"/>
    <w:rsid w:val="001C5DF0"/>
    <w:rsid w:val="001C62C5"/>
    <w:rsid w:val="001C7401"/>
    <w:rsid w:val="00214B52"/>
    <w:rsid w:val="00231006"/>
    <w:rsid w:val="00264A3E"/>
    <w:rsid w:val="002864EC"/>
    <w:rsid w:val="00291E05"/>
    <w:rsid w:val="002C1FF3"/>
    <w:rsid w:val="00365FDB"/>
    <w:rsid w:val="00366055"/>
    <w:rsid w:val="00396030"/>
    <w:rsid w:val="003A537E"/>
    <w:rsid w:val="0041761E"/>
    <w:rsid w:val="00441080"/>
    <w:rsid w:val="00462C9F"/>
    <w:rsid w:val="00501054"/>
    <w:rsid w:val="00557F35"/>
    <w:rsid w:val="00566EEA"/>
    <w:rsid w:val="00571DD6"/>
    <w:rsid w:val="005E4263"/>
    <w:rsid w:val="005F67BD"/>
    <w:rsid w:val="006D68A2"/>
    <w:rsid w:val="006E3E13"/>
    <w:rsid w:val="006E53F8"/>
    <w:rsid w:val="006E603D"/>
    <w:rsid w:val="0073255D"/>
    <w:rsid w:val="007743F5"/>
    <w:rsid w:val="007B3771"/>
    <w:rsid w:val="007E15B4"/>
    <w:rsid w:val="00814A24"/>
    <w:rsid w:val="00815AFD"/>
    <w:rsid w:val="0088307C"/>
    <w:rsid w:val="008E0A16"/>
    <w:rsid w:val="00900515"/>
    <w:rsid w:val="00902452"/>
    <w:rsid w:val="00925A28"/>
    <w:rsid w:val="00937A96"/>
    <w:rsid w:val="009B5F54"/>
    <w:rsid w:val="009F4BAE"/>
    <w:rsid w:val="00A337FD"/>
    <w:rsid w:val="00A3592D"/>
    <w:rsid w:val="00A56217"/>
    <w:rsid w:val="00A66D41"/>
    <w:rsid w:val="00A72F91"/>
    <w:rsid w:val="00B06811"/>
    <w:rsid w:val="00B41C78"/>
    <w:rsid w:val="00B518E7"/>
    <w:rsid w:val="00B75BD6"/>
    <w:rsid w:val="00BD0913"/>
    <w:rsid w:val="00C07DDA"/>
    <w:rsid w:val="00C42DA9"/>
    <w:rsid w:val="00C977D0"/>
    <w:rsid w:val="00CA7D63"/>
    <w:rsid w:val="00CC20BE"/>
    <w:rsid w:val="00CD514C"/>
    <w:rsid w:val="00D024FC"/>
    <w:rsid w:val="00D0647A"/>
    <w:rsid w:val="00D12761"/>
    <w:rsid w:val="00D153B6"/>
    <w:rsid w:val="00D7296D"/>
    <w:rsid w:val="00D86AAF"/>
    <w:rsid w:val="00DA6DBA"/>
    <w:rsid w:val="00DA7AAF"/>
    <w:rsid w:val="00DD46C2"/>
    <w:rsid w:val="00E23AE2"/>
    <w:rsid w:val="00E82826"/>
    <w:rsid w:val="00E92677"/>
    <w:rsid w:val="00EB6946"/>
    <w:rsid w:val="00EC1194"/>
    <w:rsid w:val="00F5259C"/>
    <w:rsid w:val="00F74010"/>
    <w:rsid w:val="00F83CDE"/>
    <w:rsid w:val="00F84129"/>
    <w:rsid w:val="00FA559D"/>
    <w:rsid w:val="00FC7EA5"/>
    <w:rsid w:val="00FE1E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1595B"/>
  <w15:chartTrackingRefBased/>
  <w15:docId w15:val="{3EE657AF-DFE4-49E7-B298-AD826D6F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743F5"/>
  </w:style>
  <w:style w:type="paragraph" w:styleId="Corpotesto">
    <w:name w:val="Body Text"/>
    <w:basedOn w:val="Normale"/>
    <w:link w:val="CorpotestoCarattere"/>
    <w:uiPriority w:val="99"/>
    <w:semiHidden/>
    <w:unhideWhenUsed/>
    <w:rsid w:val="002C1FF3"/>
    <w:pPr>
      <w:spacing w:after="120"/>
    </w:pPr>
  </w:style>
  <w:style w:type="character" w:customStyle="1" w:styleId="CorpotestoCarattere">
    <w:name w:val="Corpo testo Carattere"/>
    <w:basedOn w:val="Carpredefinitoparagrafo"/>
    <w:link w:val="Corpotesto"/>
    <w:uiPriority w:val="99"/>
    <w:semiHidden/>
    <w:rsid w:val="002C1FF3"/>
  </w:style>
  <w:style w:type="paragraph" w:customStyle="1" w:styleId="sentr1">
    <w:name w:val="sent_r1"/>
    <w:basedOn w:val="Normale"/>
    <w:rsid w:val="009F4BA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74010"/>
    <w:rPr>
      <w:color w:val="0000FF"/>
      <w:u w:val="single"/>
    </w:rPr>
  </w:style>
  <w:style w:type="paragraph" w:customStyle="1" w:styleId="sentnormal">
    <w:name w:val="sent_normal"/>
    <w:basedOn w:val="Normale"/>
    <w:rsid w:val="00F7401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602060">
      <w:bodyDiv w:val="1"/>
      <w:marLeft w:val="0"/>
      <w:marRight w:val="0"/>
      <w:marTop w:val="0"/>
      <w:marBottom w:val="0"/>
      <w:divBdr>
        <w:top w:val="none" w:sz="0" w:space="0" w:color="auto"/>
        <w:left w:val="none" w:sz="0" w:space="0" w:color="auto"/>
        <w:bottom w:val="none" w:sz="0" w:space="0" w:color="auto"/>
        <w:right w:val="none" w:sz="0" w:space="0" w:color="auto"/>
      </w:divBdr>
    </w:div>
    <w:div w:id="71265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javascript:kernel.go('bd',%7bmask:'main',opera:'05',id:'05AC00003418',key:'05AC00003418',%20callerTicket:%20'',%20userKey:%20'',_menu:'giuri',kind:''%7d)"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javascript:kernel.go('bd',%7bmask:'main',opera:'05',id:'05AC00003418',key:'05AC00003418',%20callerTicket:%20'',%20userKey:%20'',_menu:'giuri',kind:''%7d)" TargetMode="Externa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1109</Words>
  <Characters>6327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PAOLO CAPPONI</dc:creator>
  <cp:keywords/>
  <dc:description/>
  <cp:lastModifiedBy>PIER PAOLO CAPPONI</cp:lastModifiedBy>
  <cp:revision>5</cp:revision>
  <dcterms:created xsi:type="dcterms:W3CDTF">2018-03-08T09:09:00Z</dcterms:created>
  <dcterms:modified xsi:type="dcterms:W3CDTF">2018-03-13T10:36:00Z</dcterms:modified>
</cp:coreProperties>
</file>