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B00" w:rsidRDefault="00CE6328" w:rsidP="00925B46">
      <w:pPr>
        <w:jc w:val="both"/>
        <w:rPr>
          <w:rFonts w:ascii="Times New Roman" w:hAnsi="Times New Roman" w:cs="Times New Roman"/>
          <w:b/>
          <w:sz w:val="28"/>
          <w:szCs w:val="28"/>
        </w:rPr>
      </w:pPr>
      <w:r w:rsidRPr="00CE6328">
        <w:rPr>
          <w:rFonts w:ascii="Times New Roman" w:hAnsi="Times New Roman" w:cs="Times New Roman"/>
          <w:b/>
          <w:sz w:val="28"/>
          <w:szCs w:val="28"/>
        </w:rPr>
        <w:t>LA RESPONSA</w:t>
      </w:r>
      <w:r w:rsidR="006C1E9D">
        <w:rPr>
          <w:rFonts w:ascii="Times New Roman" w:hAnsi="Times New Roman" w:cs="Times New Roman"/>
          <w:b/>
          <w:sz w:val="28"/>
          <w:szCs w:val="28"/>
        </w:rPr>
        <w:t xml:space="preserve">BILITA’ DELL’AMMINISTRATORE NEL </w:t>
      </w:r>
      <w:r w:rsidR="001B24CE">
        <w:rPr>
          <w:rFonts w:ascii="Times New Roman" w:hAnsi="Times New Roman" w:cs="Times New Roman"/>
          <w:b/>
          <w:sz w:val="28"/>
          <w:szCs w:val="28"/>
        </w:rPr>
        <w:t>RECUPERO DELLE SOMME DOVUTE DAI CONDOMINI MOROSI</w:t>
      </w:r>
    </w:p>
    <w:p w:rsidR="00CE6328" w:rsidRDefault="00CE6328" w:rsidP="00925B46">
      <w:pPr>
        <w:jc w:val="both"/>
        <w:rPr>
          <w:rFonts w:ascii="Times New Roman" w:hAnsi="Times New Roman" w:cs="Times New Roman"/>
          <w:b/>
          <w:sz w:val="28"/>
          <w:szCs w:val="28"/>
        </w:rPr>
      </w:pPr>
    </w:p>
    <w:p w:rsidR="00B7714F" w:rsidRDefault="00B7714F" w:rsidP="00925B46">
      <w:pPr>
        <w:jc w:val="both"/>
        <w:rPr>
          <w:rFonts w:ascii="Times New Roman" w:hAnsi="Times New Roman" w:cs="Times New Roman"/>
          <w:sz w:val="28"/>
          <w:szCs w:val="28"/>
        </w:rPr>
      </w:pPr>
      <w:r>
        <w:rPr>
          <w:rFonts w:ascii="Times New Roman" w:hAnsi="Times New Roman" w:cs="Times New Roman"/>
          <w:sz w:val="28"/>
          <w:szCs w:val="28"/>
        </w:rPr>
        <w:t>Il condomino non paga la rata delle spese.</w:t>
      </w:r>
    </w:p>
    <w:p w:rsidR="00B7714F" w:rsidRDefault="00B7714F" w:rsidP="00925B46">
      <w:pPr>
        <w:jc w:val="both"/>
        <w:rPr>
          <w:rFonts w:ascii="Times New Roman" w:hAnsi="Times New Roman" w:cs="Times New Roman"/>
          <w:sz w:val="28"/>
          <w:szCs w:val="28"/>
        </w:rPr>
      </w:pPr>
      <w:r>
        <w:rPr>
          <w:rFonts w:ascii="Times New Roman" w:hAnsi="Times New Roman" w:cs="Times New Roman"/>
          <w:sz w:val="28"/>
          <w:szCs w:val="28"/>
        </w:rPr>
        <w:t>Come deve comportarsi l’amministratore di condominio?</w:t>
      </w:r>
    </w:p>
    <w:p w:rsidR="00CE6328" w:rsidRDefault="004D6689" w:rsidP="00925B46">
      <w:pPr>
        <w:jc w:val="both"/>
        <w:rPr>
          <w:rFonts w:ascii="Times New Roman" w:hAnsi="Times New Roman" w:cs="Times New Roman"/>
          <w:sz w:val="28"/>
          <w:szCs w:val="28"/>
        </w:rPr>
      </w:pPr>
      <w:r>
        <w:rPr>
          <w:rFonts w:ascii="Times New Roman" w:hAnsi="Times New Roman" w:cs="Times New Roman"/>
          <w:sz w:val="28"/>
          <w:szCs w:val="28"/>
        </w:rPr>
        <w:t>Prima della riforma del condominio l’a</w:t>
      </w:r>
      <w:r w:rsidR="00B86E94">
        <w:rPr>
          <w:rFonts w:ascii="Times New Roman" w:hAnsi="Times New Roman" w:cs="Times New Roman"/>
          <w:sz w:val="28"/>
          <w:szCs w:val="28"/>
        </w:rPr>
        <w:t xml:space="preserve">mministratore era </w:t>
      </w:r>
      <w:r>
        <w:rPr>
          <w:rFonts w:ascii="Times New Roman" w:hAnsi="Times New Roman" w:cs="Times New Roman"/>
          <w:sz w:val="28"/>
          <w:szCs w:val="28"/>
        </w:rPr>
        <w:t>tenuto</w:t>
      </w:r>
      <w:r w:rsidR="00B86E94">
        <w:rPr>
          <w:rFonts w:ascii="Times New Roman" w:hAnsi="Times New Roman" w:cs="Times New Roman"/>
          <w:sz w:val="28"/>
          <w:szCs w:val="28"/>
        </w:rPr>
        <w:t>, genericamente,</w:t>
      </w:r>
      <w:r>
        <w:rPr>
          <w:rFonts w:ascii="Times New Roman" w:hAnsi="Times New Roman" w:cs="Times New Roman"/>
          <w:sz w:val="28"/>
          <w:szCs w:val="28"/>
        </w:rPr>
        <w:t xml:space="preserve"> a “</w:t>
      </w:r>
      <w:r w:rsidR="001B24CE">
        <w:rPr>
          <w:rFonts w:ascii="Times New Roman" w:hAnsi="Times New Roman" w:cs="Times New Roman"/>
          <w:i/>
          <w:sz w:val="28"/>
          <w:szCs w:val="28"/>
        </w:rPr>
        <w:t xml:space="preserve">RISCUOTERE </w:t>
      </w:r>
      <w:r>
        <w:rPr>
          <w:rFonts w:ascii="Times New Roman" w:hAnsi="Times New Roman" w:cs="Times New Roman"/>
          <w:i/>
          <w:sz w:val="28"/>
          <w:szCs w:val="28"/>
        </w:rPr>
        <w:t>I CONTRIBUTI</w:t>
      </w:r>
      <w:r>
        <w:rPr>
          <w:rFonts w:ascii="Times New Roman" w:hAnsi="Times New Roman" w:cs="Times New Roman"/>
          <w:sz w:val="28"/>
          <w:szCs w:val="28"/>
        </w:rPr>
        <w:t xml:space="preserve">” </w:t>
      </w:r>
      <w:r w:rsidR="00E42942">
        <w:rPr>
          <w:rFonts w:ascii="Times New Roman" w:hAnsi="Times New Roman" w:cs="Times New Roman"/>
          <w:sz w:val="28"/>
          <w:szCs w:val="28"/>
        </w:rPr>
        <w:t xml:space="preserve">condominiali </w:t>
      </w:r>
      <w:r>
        <w:rPr>
          <w:rFonts w:ascii="Times New Roman" w:hAnsi="Times New Roman" w:cs="Times New Roman"/>
          <w:sz w:val="28"/>
          <w:szCs w:val="28"/>
        </w:rPr>
        <w:t>(Art. 1130, primo comma, numero 3, c.c.</w:t>
      </w:r>
      <w:r w:rsidR="00925B46">
        <w:rPr>
          <w:rFonts w:ascii="Times New Roman" w:hAnsi="Times New Roman" w:cs="Times New Roman"/>
          <w:sz w:val="28"/>
          <w:szCs w:val="28"/>
        </w:rPr>
        <w:t xml:space="preserve">, </w:t>
      </w:r>
      <w:r w:rsidR="001021E3">
        <w:rPr>
          <w:rFonts w:ascii="Times New Roman" w:hAnsi="Times New Roman" w:cs="Times New Roman"/>
          <w:sz w:val="28"/>
          <w:szCs w:val="28"/>
        </w:rPr>
        <w:t>tuttora vigente</w:t>
      </w:r>
      <w:r>
        <w:rPr>
          <w:rFonts w:ascii="Times New Roman" w:hAnsi="Times New Roman" w:cs="Times New Roman"/>
          <w:sz w:val="28"/>
          <w:szCs w:val="28"/>
        </w:rPr>
        <w:t>)</w:t>
      </w:r>
    </w:p>
    <w:p w:rsidR="00B7714F" w:rsidRDefault="004D6689" w:rsidP="00925B46">
      <w:pPr>
        <w:jc w:val="both"/>
        <w:rPr>
          <w:rFonts w:ascii="Times New Roman" w:hAnsi="Times New Roman" w:cs="Times New Roman"/>
          <w:sz w:val="28"/>
          <w:szCs w:val="28"/>
        </w:rPr>
      </w:pPr>
      <w:r>
        <w:rPr>
          <w:rFonts w:ascii="Times New Roman" w:hAnsi="Times New Roman" w:cs="Times New Roman"/>
          <w:sz w:val="28"/>
          <w:szCs w:val="28"/>
        </w:rPr>
        <w:t xml:space="preserve">Tale dovere </w:t>
      </w:r>
      <w:r w:rsidR="00925B46">
        <w:rPr>
          <w:rFonts w:ascii="Times New Roman" w:hAnsi="Times New Roman" w:cs="Times New Roman"/>
          <w:sz w:val="28"/>
          <w:szCs w:val="28"/>
        </w:rPr>
        <w:t>è divenuto</w:t>
      </w:r>
      <w:r>
        <w:rPr>
          <w:rFonts w:ascii="Times New Roman" w:hAnsi="Times New Roman" w:cs="Times New Roman"/>
          <w:sz w:val="28"/>
          <w:szCs w:val="28"/>
        </w:rPr>
        <w:t xml:space="preserve"> più stringente</w:t>
      </w:r>
      <w:r w:rsidR="001B24CE">
        <w:rPr>
          <w:rFonts w:ascii="Times New Roman" w:hAnsi="Times New Roman" w:cs="Times New Roman"/>
          <w:sz w:val="28"/>
          <w:szCs w:val="28"/>
        </w:rPr>
        <w:t xml:space="preserve"> a seguito dell’entrata in vigore (il 18/6/2013)</w:t>
      </w:r>
      <w:r w:rsidR="00925B46">
        <w:rPr>
          <w:rFonts w:ascii="Times New Roman" w:hAnsi="Times New Roman" w:cs="Times New Roman"/>
          <w:sz w:val="28"/>
          <w:szCs w:val="28"/>
        </w:rPr>
        <w:t xml:space="preserve"> della</w:t>
      </w:r>
      <w:r>
        <w:rPr>
          <w:rFonts w:ascii="Times New Roman" w:hAnsi="Times New Roman" w:cs="Times New Roman"/>
          <w:sz w:val="28"/>
          <w:szCs w:val="28"/>
        </w:rPr>
        <w:t xml:space="preserve"> legge </w:t>
      </w:r>
      <w:r w:rsidR="00E42942">
        <w:rPr>
          <w:rFonts w:ascii="Times New Roman" w:hAnsi="Times New Roman" w:cs="Times New Roman"/>
          <w:sz w:val="28"/>
          <w:szCs w:val="28"/>
        </w:rPr>
        <w:t>n. 220/1</w:t>
      </w:r>
      <w:r w:rsidR="001B24CE">
        <w:rPr>
          <w:rFonts w:ascii="Times New Roman" w:hAnsi="Times New Roman" w:cs="Times New Roman"/>
          <w:sz w:val="28"/>
          <w:szCs w:val="28"/>
        </w:rPr>
        <w:t>2</w:t>
      </w:r>
      <w:r w:rsidR="00B7714F">
        <w:rPr>
          <w:rFonts w:ascii="Times New Roman" w:hAnsi="Times New Roman" w:cs="Times New Roman"/>
          <w:sz w:val="28"/>
          <w:szCs w:val="28"/>
        </w:rPr>
        <w:t>.</w:t>
      </w:r>
    </w:p>
    <w:p w:rsidR="004D6689" w:rsidRDefault="00B7714F" w:rsidP="00925B46">
      <w:pPr>
        <w:jc w:val="both"/>
        <w:rPr>
          <w:rFonts w:ascii="Times New Roman" w:hAnsi="Times New Roman" w:cs="Times New Roman"/>
          <w:sz w:val="28"/>
          <w:szCs w:val="28"/>
        </w:rPr>
      </w:pPr>
      <w:r>
        <w:rPr>
          <w:rFonts w:ascii="Times New Roman" w:hAnsi="Times New Roman" w:cs="Times New Roman"/>
          <w:sz w:val="28"/>
          <w:szCs w:val="28"/>
        </w:rPr>
        <w:t>Quest’ultima</w:t>
      </w:r>
      <w:r w:rsidR="00925B46">
        <w:rPr>
          <w:rFonts w:ascii="Times New Roman" w:hAnsi="Times New Roman" w:cs="Times New Roman"/>
          <w:sz w:val="28"/>
          <w:szCs w:val="28"/>
        </w:rPr>
        <w:t xml:space="preserve">, per quanto qui interessa, </w:t>
      </w:r>
      <w:r w:rsidR="00E42942">
        <w:rPr>
          <w:rFonts w:ascii="Times New Roman" w:hAnsi="Times New Roman" w:cs="Times New Roman"/>
          <w:sz w:val="28"/>
          <w:szCs w:val="28"/>
        </w:rPr>
        <w:t xml:space="preserve">stabilisce </w:t>
      </w:r>
      <w:r w:rsidR="00925B46">
        <w:rPr>
          <w:rFonts w:ascii="Times New Roman" w:hAnsi="Times New Roman" w:cs="Times New Roman"/>
          <w:sz w:val="28"/>
          <w:szCs w:val="28"/>
        </w:rPr>
        <w:t xml:space="preserve">all’articolo 9 (che ha sostituito </w:t>
      </w:r>
      <w:r w:rsidR="001B24CE">
        <w:rPr>
          <w:rFonts w:ascii="Times New Roman" w:hAnsi="Times New Roman" w:cs="Times New Roman"/>
          <w:sz w:val="28"/>
          <w:szCs w:val="28"/>
        </w:rPr>
        <w:t xml:space="preserve">integralmente </w:t>
      </w:r>
      <w:r w:rsidR="00925B46">
        <w:rPr>
          <w:rFonts w:ascii="Times New Roman" w:hAnsi="Times New Roman" w:cs="Times New Roman"/>
          <w:sz w:val="28"/>
          <w:szCs w:val="28"/>
        </w:rPr>
        <w:t xml:space="preserve">l’art. 1129 c.c.) </w:t>
      </w:r>
      <w:r w:rsidR="00E42942">
        <w:rPr>
          <w:rFonts w:ascii="Times New Roman" w:hAnsi="Times New Roman" w:cs="Times New Roman"/>
          <w:sz w:val="28"/>
          <w:szCs w:val="28"/>
        </w:rPr>
        <w:t>che “</w:t>
      </w:r>
      <w:r w:rsidR="00E42942">
        <w:rPr>
          <w:rFonts w:ascii="Times New Roman" w:hAnsi="Times New Roman" w:cs="Times New Roman"/>
          <w:i/>
          <w:sz w:val="28"/>
          <w:szCs w:val="28"/>
        </w:rPr>
        <w:t>SALVO CHE SIA STATO ESPRESSAMENTE DISPENSATO DALL’ASSEMBLEA, L’AMMINISTRATORE E’ TENUTO AD AGIRE PER LA RISCOSSIONE FORZOSA DELLE SOMME DOVUTE DAGLI OBBLIGATI ENTRO SEI MESI DALLA CHIUSURA DELL’ESERCIZIO NEL QUALE IL CREDITO ESIGIBILE E’ COMPRESO, ANCHE AI SENSI DELL’ARTICOLO 63, PRIMO COMMA, DELLE DISPOSIZIONI PER L’ATTUAZIONE DEL PRESENTE CODICE</w:t>
      </w:r>
      <w:r w:rsidR="00E42942">
        <w:rPr>
          <w:rFonts w:ascii="Times New Roman" w:hAnsi="Times New Roman" w:cs="Times New Roman"/>
          <w:sz w:val="28"/>
          <w:szCs w:val="28"/>
        </w:rPr>
        <w:t>”</w:t>
      </w:r>
      <w:r w:rsidR="009375D9">
        <w:rPr>
          <w:rFonts w:ascii="Times New Roman" w:hAnsi="Times New Roman" w:cs="Times New Roman"/>
          <w:sz w:val="28"/>
          <w:szCs w:val="28"/>
        </w:rPr>
        <w:t xml:space="preserve"> (nono comma </w:t>
      </w:r>
      <w:r w:rsidR="00925B46">
        <w:rPr>
          <w:rFonts w:ascii="Times New Roman" w:hAnsi="Times New Roman" w:cs="Times New Roman"/>
          <w:sz w:val="28"/>
          <w:szCs w:val="28"/>
        </w:rPr>
        <w:t xml:space="preserve">del nuovo </w:t>
      </w:r>
      <w:r w:rsidR="009375D9">
        <w:rPr>
          <w:rFonts w:ascii="Times New Roman" w:hAnsi="Times New Roman" w:cs="Times New Roman"/>
          <w:sz w:val="28"/>
          <w:szCs w:val="28"/>
        </w:rPr>
        <w:t>art. 1129 c.c.)</w:t>
      </w:r>
    </w:p>
    <w:p w:rsidR="00E42942" w:rsidRDefault="00925B46" w:rsidP="00925B46">
      <w:pPr>
        <w:jc w:val="both"/>
        <w:rPr>
          <w:rFonts w:ascii="Times New Roman" w:hAnsi="Times New Roman" w:cs="Times New Roman"/>
          <w:sz w:val="28"/>
          <w:szCs w:val="28"/>
        </w:rPr>
      </w:pPr>
      <w:r>
        <w:rPr>
          <w:rFonts w:ascii="Times New Roman" w:hAnsi="Times New Roman" w:cs="Times New Roman"/>
          <w:sz w:val="28"/>
          <w:szCs w:val="28"/>
        </w:rPr>
        <w:t>La domanda da porsi è, f</w:t>
      </w:r>
      <w:r w:rsidR="00E42942">
        <w:rPr>
          <w:rFonts w:ascii="Times New Roman" w:hAnsi="Times New Roman" w:cs="Times New Roman"/>
          <w:sz w:val="28"/>
          <w:szCs w:val="28"/>
        </w:rPr>
        <w:t>ino a che punto l’amministratore può e deve spingersi per recuperare le quote dei condomini morosi?</w:t>
      </w:r>
    </w:p>
    <w:p w:rsidR="00E42942" w:rsidRDefault="00B86E94" w:rsidP="00925B46">
      <w:pPr>
        <w:jc w:val="both"/>
        <w:rPr>
          <w:rFonts w:ascii="Times New Roman" w:hAnsi="Times New Roman" w:cs="Times New Roman"/>
          <w:sz w:val="28"/>
          <w:szCs w:val="28"/>
        </w:rPr>
      </w:pPr>
      <w:r>
        <w:rPr>
          <w:rFonts w:ascii="Times New Roman" w:hAnsi="Times New Roman" w:cs="Times New Roman"/>
          <w:sz w:val="28"/>
          <w:szCs w:val="28"/>
        </w:rPr>
        <w:t>Il quesito</w:t>
      </w:r>
      <w:r w:rsidR="00E42942">
        <w:rPr>
          <w:rFonts w:ascii="Times New Roman" w:hAnsi="Times New Roman" w:cs="Times New Roman"/>
          <w:sz w:val="28"/>
          <w:szCs w:val="28"/>
        </w:rPr>
        <w:t xml:space="preserve"> </w:t>
      </w:r>
      <w:r w:rsidR="00925B46">
        <w:rPr>
          <w:rFonts w:ascii="Times New Roman" w:hAnsi="Times New Roman" w:cs="Times New Roman"/>
          <w:sz w:val="28"/>
          <w:szCs w:val="28"/>
        </w:rPr>
        <w:t>ha un grande rilievo pratico e</w:t>
      </w:r>
      <w:r w:rsidR="00E42942">
        <w:rPr>
          <w:rFonts w:ascii="Times New Roman" w:hAnsi="Times New Roman" w:cs="Times New Roman"/>
          <w:sz w:val="28"/>
          <w:szCs w:val="28"/>
        </w:rPr>
        <w:t xml:space="preserve"> </w:t>
      </w:r>
      <w:r>
        <w:rPr>
          <w:rFonts w:ascii="Times New Roman" w:hAnsi="Times New Roman" w:cs="Times New Roman"/>
          <w:sz w:val="28"/>
          <w:szCs w:val="28"/>
        </w:rPr>
        <w:t xml:space="preserve">la sua risposta </w:t>
      </w:r>
      <w:r w:rsidR="00925B46">
        <w:rPr>
          <w:rFonts w:ascii="Times New Roman" w:hAnsi="Times New Roman" w:cs="Times New Roman"/>
          <w:sz w:val="28"/>
          <w:szCs w:val="28"/>
        </w:rPr>
        <w:t xml:space="preserve">può fare capire meglio </w:t>
      </w:r>
      <w:r w:rsidR="00B7714F">
        <w:rPr>
          <w:rFonts w:ascii="Times New Roman" w:hAnsi="Times New Roman" w:cs="Times New Roman"/>
          <w:sz w:val="28"/>
          <w:szCs w:val="28"/>
        </w:rPr>
        <w:t xml:space="preserve">quale è </w:t>
      </w:r>
      <w:r w:rsidR="00E42942">
        <w:rPr>
          <w:rFonts w:ascii="Times New Roman" w:hAnsi="Times New Roman" w:cs="Times New Roman"/>
          <w:sz w:val="28"/>
          <w:szCs w:val="28"/>
        </w:rPr>
        <w:t>il limite della responsabilità dell’amministratore in tale delicato settore.</w:t>
      </w:r>
    </w:p>
    <w:p w:rsidR="00413F51" w:rsidRDefault="00E42942" w:rsidP="00925B46">
      <w:pPr>
        <w:jc w:val="both"/>
        <w:rPr>
          <w:rFonts w:ascii="Times New Roman" w:hAnsi="Times New Roman" w:cs="Times New Roman"/>
          <w:sz w:val="28"/>
          <w:szCs w:val="28"/>
        </w:rPr>
      </w:pPr>
      <w:r>
        <w:rPr>
          <w:rFonts w:ascii="Times New Roman" w:hAnsi="Times New Roman" w:cs="Times New Roman"/>
          <w:sz w:val="28"/>
          <w:szCs w:val="28"/>
        </w:rPr>
        <w:t>Sul punt</w:t>
      </w:r>
      <w:r w:rsidR="00CF0771">
        <w:rPr>
          <w:rFonts w:ascii="Times New Roman" w:hAnsi="Times New Roman" w:cs="Times New Roman"/>
          <w:sz w:val="28"/>
          <w:szCs w:val="28"/>
        </w:rPr>
        <w:t xml:space="preserve">o è </w:t>
      </w:r>
      <w:r w:rsidR="00003756">
        <w:rPr>
          <w:rFonts w:ascii="Times New Roman" w:hAnsi="Times New Roman" w:cs="Times New Roman"/>
          <w:sz w:val="28"/>
          <w:szCs w:val="28"/>
        </w:rPr>
        <w:t xml:space="preserve">intervenuta </w:t>
      </w:r>
      <w:r>
        <w:rPr>
          <w:rFonts w:ascii="Times New Roman" w:hAnsi="Times New Roman" w:cs="Times New Roman"/>
          <w:sz w:val="28"/>
          <w:szCs w:val="28"/>
        </w:rPr>
        <w:t>la sesta sezione della Co</w:t>
      </w:r>
      <w:r w:rsidR="00413F51">
        <w:rPr>
          <w:rFonts w:ascii="Times New Roman" w:hAnsi="Times New Roman" w:cs="Times New Roman"/>
          <w:sz w:val="28"/>
          <w:szCs w:val="28"/>
        </w:rPr>
        <w:t>rte di Cassazione</w:t>
      </w:r>
      <w:r w:rsidR="00003756">
        <w:rPr>
          <w:rFonts w:ascii="Times New Roman" w:hAnsi="Times New Roman" w:cs="Times New Roman"/>
          <w:sz w:val="28"/>
          <w:szCs w:val="28"/>
        </w:rPr>
        <w:t xml:space="preserve"> (ordinanza</w:t>
      </w:r>
      <w:r w:rsidR="00B86E94">
        <w:rPr>
          <w:rFonts w:ascii="Times New Roman" w:hAnsi="Times New Roman" w:cs="Times New Roman"/>
          <w:sz w:val="28"/>
          <w:szCs w:val="28"/>
        </w:rPr>
        <w:t xml:space="preserve"> n. 20100 del 2/9/2013)</w:t>
      </w:r>
      <w:r w:rsidR="00413F51">
        <w:rPr>
          <w:rFonts w:ascii="Times New Roman" w:hAnsi="Times New Roman" w:cs="Times New Roman"/>
          <w:sz w:val="28"/>
          <w:szCs w:val="28"/>
        </w:rPr>
        <w:t>.</w:t>
      </w:r>
    </w:p>
    <w:p w:rsidR="00E42942" w:rsidRDefault="001021E3" w:rsidP="00925B46">
      <w:pPr>
        <w:jc w:val="both"/>
        <w:rPr>
          <w:rFonts w:ascii="Times New Roman" w:hAnsi="Times New Roman" w:cs="Times New Roman"/>
          <w:sz w:val="28"/>
          <w:szCs w:val="28"/>
        </w:rPr>
      </w:pPr>
      <w:r>
        <w:rPr>
          <w:rFonts w:ascii="Times New Roman" w:hAnsi="Times New Roman" w:cs="Times New Roman"/>
          <w:sz w:val="28"/>
          <w:szCs w:val="28"/>
        </w:rPr>
        <w:t>Vale la pena</w:t>
      </w:r>
      <w:r w:rsidR="000A51D2">
        <w:rPr>
          <w:rFonts w:ascii="Times New Roman" w:hAnsi="Times New Roman" w:cs="Times New Roman"/>
          <w:sz w:val="28"/>
          <w:szCs w:val="28"/>
        </w:rPr>
        <w:t xml:space="preserve"> ricordare che la sesta</w:t>
      </w:r>
      <w:r w:rsidR="00413F51">
        <w:rPr>
          <w:rFonts w:ascii="Times New Roman" w:hAnsi="Times New Roman" w:cs="Times New Roman"/>
          <w:sz w:val="28"/>
          <w:szCs w:val="28"/>
        </w:rPr>
        <w:t xml:space="preserve"> sezione </w:t>
      </w:r>
      <w:r w:rsidR="00B86E94">
        <w:rPr>
          <w:rFonts w:ascii="Times New Roman" w:hAnsi="Times New Roman" w:cs="Times New Roman"/>
          <w:sz w:val="28"/>
          <w:szCs w:val="28"/>
        </w:rPr>
        <w:t xml:space="preserve">della Suprema Corte </w:t>
      </w:r>
      <w:r w:rsidR="00877411">
        <w:rPr>
          <w:rFonts w:ascii="Times New Roman" w:hAnsi="Times New Roman" w:cs="Times New Roman"/>
          <w:sz w:val="28"/>
          <w:szCs w:val="28"/>
        </w:rPr>
        <w:t xml:space="preserve">- </w:t>
      </w:r>
      <w:r w:rsidR="00877411" w:rsidRPr="00877411">
        <w:rPr>
          <w:rFonts w:ascii="Times New Roman" w:hAnsi="Times New Roman" w:cs="Times New Roman"/>
          <w:sz w:val="28"/>
          <w:szCs w:val="28"/>
        </w:rPr>
        <w:t>istituita</w:t>
      </w:r>
      <w:r w:rsidR="00877411">
        <w:rPr>
          <w:rFonts w:ascii="Helvetica" w:hAnsi="Helvetica" w:cs="Helvetica"/>
          <w:color w:val="333333"/>
          <w:sz w:val="20"/>
          <w:szCs w:val="20"/>
          <w:shd w:val="clear" w:color="auto" w:fill="FFFFFF"/>
        </w:rPr>
        <w:t xml:space="preserve"> </w:t>
      </w:r>
      <w:r w:rsidR="003030F9" w:rsidRPr="003030F9">
        <w:rPr>
          <w:rFonts w:ascii="Times New Roman" w:hAnsi="Times New Roman" w:cs="Times New Roman"/>
          <w:sz w:val="28"/>
          <w:szCs w:val="28"/>
        </w:rPr>
        <w:t>ai sensi dell</w:t>
      </w:r>
      <w:r w:rsidR="00877411" w:rsidRPr="00877411">
        <w:rPr>
          <w:rFonts w:ascii="Times New Roman" w:hAnsi="Times New Roman" w:cs="Times New Roman"/>
          <w:sz w:val="28"/>
          <w:szCs w:val="28"/>
        </w:rPr>
        <w:t>’art. 47.2 della L. 18 giugno 2009, n. 69</w:t>
      </w:r>
      <w:r w:rsidR="00877411">
        <w:rPr>
          <w:rFonts w:ascii="Times New Roman" w:hAnsi="Times New Roman" w:cs="Times New Roman"/>
          <w:sz w:val="28"/>
          <w:szCs w:val="28"/>
        </w:rPr>
        <w:t xml:space="preserve"> - </w:t>
      </w:r>
      <w:r w:rsidR="00413F51" w:rsidRPr="00877411">
        <w:rPr>
          <w:rFonts w:ascii="Times New Roman" w:hAnsi="Times New Roman" w:cs="Times New Roman"/>
          <w:sz w:val="28"/>
          <w:szCs w:val="28"/>
        </w:rPr>
        <w:t>ha</w:t>
      </w:r>
      <w:r w:rsidR="00413F51">
        <w:rPr>
          <w:rFonts w:ascii="Times New Roman" w:hAnsi="Times New Roman" w:cs="Times New Roman"/>
          <w:sz w:val="28"/>
          <w:szCs w:val="28"/>
        </w:rPr>
        <w:t xml:space="preserve"> il compito di </w:t>
      </w:r>
      <w:r w:rsidR="00E42942">
        <w:rPr>
          <w:rFonts w:ascii="Times New Roman" w:hAnsi="Times New Roman" w:cs="Times New Roman"/>
          <w:sz w:val="28"/>
          <w:szCs w:val="28"/>
        </w:rPr>
        <w:t>fare da filtro ai ricorsi</w:t>
      </w:r>
      <w:r w:rsidR="00877411">
        <w:rPr>
          <w:rFonts w:ascii="Times New Roman" w:hAnsi="Times New Roman" w:cs="Times New Roman"/>
          <w:sz w:val="28"/>
          <w:szCs w:val="28"/>
        </w:rPr>
        <w:t xml:space="preserve">, </w:t>
      </w:r>
      <w:r w:rsidR="0034517F">
        <w:rPr>
          <w:rFonts w:ascii="Times New Roman" w:hAnsi="Times New Roman" w:cs="Times New Roman"/>
          <w:sz w:val="28"/>
          <w:szCs w:val="28"/>
        </w:rPr>
        <w:t xml:space="preserve">accertandone subito </w:t>
      </w:r>
      <w:r w:rsidR="00E42942">
        <w:rPr>
          <w:rFonts w:ascii="Times New Roman" w:hAnsi="Times New Roman" w:cs="Times New Roman"/>
          <w:sz w:val="28"/>
          <w:szCs w:val="28"/>
        </w:rPr>
        <w:t xml:space="preserve">la loro eventuale manifesta </w:t>
      </w:r>
      <w:r w:rsidR="00413F51">
        <w:rPr>
          <w:rFonts w:ascii="Times New Roman" w:hAnsi="Times New Roman" w:cs="Times New Roman"/>
          <w:sz w:val="28"/>
          <w:szCs w:val="28"/>
        </w:rPr>
        <w:t xml:space="preserve">fondatezza o </w:t>
      </w:r>
      <w:r w:rsidR="00E42942">
        <w:rPr>
          <w:rFonts w:ascii="Times New Roman" w:hAnsi="Times New Roman" w:cs="Times New Roman"/>
          <w:sz w:val="28"/>
          <w:szCs w:val="28"/>
        </w:rPr>
        <w:t>infondatezza, così d</w:t>
      </w:r>
      <w:r w:rsidR="0034517F">
        <w:rPr>
          <w:rFonts w:ascii="Times New Roman" w:hAnsi="Times New Roman" w:cs="Times New Roman"/>
          <w:sz w:val="28"/>
          <w:szCs w:val="28"/>
        </w:rPr>
        <w:t>a porre rapidamente</w:t>
      </w:r>
      <w:r w:rsidR="00E42942">
        <w:rPr>
          <w:rFonts w:ascii="Times New Roman" w:hAnsi="Times New Roman" w:cs="Times New Roman"/>
          <w:sz w:val="28"/>
          <w:szCs w:val="28"/>
        </w:rPr>
        <w:t xml:space="preserve"> fine al g</w:t>
      </w:r>
      <w:r w:rsidR="00877411">
        <w:rPr>
          <w:rFonts w:ascii="Times New Roman" w:hAnsi="Times New Roman" w:cs="Times New Roman"/>
          <w:sz w:val="28"/>
          <w:szCs w:val="28"/>
        </w:rPr>
        <w:t xml:space="preserve">iudizio con decisione </w:t>
      </w:r>
      <w:r w:rsidR="003030F9">
        <w:rPr>
          <w:rFonts w:ascii="Times New Roman" w:hAnsi="Times New Roman" w:cs="Times New Roman"/>
          <w:sz w:val="28"/>
          <w:szCs w:val="28"/>
        </w:rPr>
        <w:t xml:space="preserve">presa </w:t>
      </w:r>
      <w:r w:rsidR="00877411">
        <w:rPr>
          <w:rFonts w:ascii="Times New Roman" w:hAnsi="Times New Roman" w:cs="Times New Roman"/>
          <w:sz w:val="28"/>
          <w:szCs w:val="28"/>
        </w:rPr>
        <w:t>in camera di consiglio</w:t>
      </w:r>
      <w:r w:rsidR="00E42942">
        <w:rPr>
          <w:rFonts w:ascii="Times New Roman" w:hAnsi="Times New Roman" w:cs="Times New Roman"/>
          <w:sz w:val="28"/>
          <w:szCs w:val="28"/>
        </w:rPr>
        <w:t>.</w:t>
      </w:r>
    </w:p>
    <w:p w:rsidR="00413F51" w:rsidRDefault="0034517F" w:rsidP="00925B46">
      <w:pPr>
        <w:jc w:val="both"/>
        <w:rPr>
          <w:rFonts w:ascii="Times New Roman" w:hAnsi="Times New Roman" w:cs="Times New Roman"/>
          <w:sz w:val="28"/>
          <w:szCs w:val="28"/>
        </w:rPr>
      </w:pPr>
      <w:r>
        <w:rPr>
          <w:rFonts w:ascii="Times New Roman" w:hAnsi="Times New Roman" w:cs="Times New Roman"/>
          <w:sz w:val="28"/>
          <w:szCs w:val="28"/>
        </w:rPr>
        <w:t>Nella fat</w:t>
      </w:r>
      <w:r w:rsidR="003030F9">
        <w:rPr>
          <w:rFonts w:ascii="Times New Roman" w:hAnsi="Times New Roman" w:cs="Times New Roman"/>
          <w:sz w:val="28"/>
          <w:szCs w:val="28"/>
        </w:rPr>
        <w:t>tispecie la controversia aveva come oggetto la</w:t>
      </w:r>
      <w:r w:rsidR="00413F51">
        <w:rPr>
          <w:rFonts w:ascii="Times New Roman" w:hAnsi="Times New Roman" w:cs="Times New Roman"/>
          <w:sz w:val="28"/>
          <w:szCs w:val="28"/>
        </w:rPr>
        <w:t xml:space="preserve"> revoca dell’amministratore</w:t>
      </w:r>
      <w:r>
        <w:rPr>
          <w:rFonts w:ascii="Times New Roman" w:hAnsi="Times New Roman" w:cs="Times New Roman"/>
          <w:sz w:val="28"/>
          <w:szCs w:val="28"/>
        </w:rPr>
        <w:t>,</w:t>
      </w:r>
      <w:r w:rsidR="00413F51">
        <w:rPr>
          <w:rFonts w:ascii="Times New Roman" w:hAnsi="Times New Roman" w:cs="Times New Roman"/>
          <w:sz w:val="28"/>
          <w:szCs w:val="28"/>
        </w:rPr>
        <w:t xml:space="preserve"> il quale</w:t>
      </w:r>
      <w:r>
        <w:rPr>
          <w:rFonts w:ascii="Times New Roman" w:hAnsi="Times New Roman" w:cs="Times New Roman"/>
          <w:sz w:val="28"/>
          <w:szCs w:val="28"/>
        </w:rPr>
        <w:t>, a dire degli attori,</w:t>
      </w:r>
      <w:r w:rsidR="00413F51">
        <w:rPr>
          <w:rFonts w:ascii="Times New Roman" w:hAnsi="Times New Roman" w:cs="Times New Roman"/>
          <w:sz w:val="28"/>
          <w:szCs w:val="28"/>
        </w:rPr>
        <w:t xml:space="preserve"> non avrebbe adempiuto al proprio do</w:t>
      </w:r>
      <w:r w:rsidR="00877411">
        <w:rPr>
          <w:rFonts w:ascii="Times New Roman" w:hAnsi="Times New Roman" w:cs="Times New Roman"/>
          <w:sz w:val="28"/>
          <w:szCs w:val="28"/>
        </w:rPr>
        <w:t>vere di riscuotere i contributi dei condomini morosi.</w:t>
      </w:r>
    </w:p>
    <w:p w:rsidR="00413F51" w:rsidRDefault="00413F51" w:rsidP="00925B46">
      <w:pPr>
        <w:jc w:val="both"/>
        <w:rPr>
          <w:rFonts w:ascii="Times New Roman" w:hAnsi="Times New Roman" w:cs="Times New Roman"/>
          <w:i/>
          <w:sz w:val="28"/>
          <w:szCs w:val="28"/>
        </w:rPr>
      </w:pPr>
      <w:r>
        <w:rPr>
          <w:rFonts w:ascii="Times New Roman" w:hAnsi="Times New Roman" w:cs="Times New Roman"/>
          <w:sz w:val="28"/>
          <w:szCs w:val="28"/>
        </w:rPr>
        <w:lastRenderedPageBreak/>
        <w:t xml:space="preserve">Secondo la Corte di appello di Catanzaro </w:t>
      </w:r>
      <w:r w:rsidR="0034517F">
        <w:rPr>
          <w:rFonts w:ascii="Times New Roman" w:hAnsi="Times New Roman" w:cs="Times New Roman"/>
          <w:sz w:val="28"/>
          <w:szCs w:val="28"/>
        </w:rPr>
        <w:t xml:space="preserve">(che ha confermato la sentenza dell’omonimo  Tribunale) </w:t>
      </w:r>
      <w:r>
        <w:rPr>
          <w:rFonts w:ascii="Times New Roman" w:hAnsi="Times New Roman" w:cs="Times New Roman"/>
          <w:sz w:val="28"/>
          <w:szCs w:val="28"/>
        </w:rPr>
        <w:t>la presunta “</w:t>
      </w:r>
      <w:r w:rsidRPr="0034517F">
        <w:rPr>
          <w:rFonts w:ascii="Times New Roman" w:hAnsi="Times New Roman" w:cs="Times New Roman"/>
          <w:i/>
          <w:sz w:val="28"/>
          <w:szCs w:val="28"/>
        </w:rPr>
        <w:t>mancata riscossione degli oneri condominiali</w:t>
      </w:r>
      <w:r w:rsidR="0034517F">
        <w:rPr>
          <w:rFonts w:ascii="Times New Roman" w:hAnsi="Times New Roman" w:cs="Times New Roman"/>
          <w:i/>
          <w:sz w:val="28"/>
          <w:szCs w:val="28"/>
        </w:rPr>
        <w:t xml:space="preserve"> è</w:t>
      </w:r>
      <w:r w:rsidRPr="0034517F">
        <w:rPr>
          <w:rFonts w:ascii="Times New Roman" w:hAnsi="Times New Roman" w:cs="Times New Roman"/>
          <w:i/>
          <w:sz w:val="28"/>
          <w:szCs w:val="28"/>
        </w:rPr>
        <w:t xml:space="preserve"> contraddetta dalla pr</w:t>
      </w:r>
      <w:r w:rsidR="00BF176E">
        <w:rPr>
          <w:rFonts w:ascii="Times New Roman" w:hAnsi="Times New Roman" w:cs="Times New Roman"/>
          <w:i/>
          <w:sz w:val="28"/>
          <w:szCs w:val="28"/>
        </w:rPr>
        <w:t>ovata notificazione agli stessi</w:t>
      </w:r>
      <w:r w:rsidR="00297719">
        <w:rPr>
          <w:rFonts w:ascii="Times New Roman" w:hAnsi="Times New Roman" w:cs="Times New Roman"/>
          <w:i/>
          <w:sz w:val="28"/>
          <w:szCs w:val="28"/>
        </w:rPr>
        <w:t xml:space="preserve">” </w:t>
      </w:r>
      <w:r w:rsidR="00297719">
        <w:rPr>
          <w:rFonts w:ascii="Times New Roman" w:hAnsi="Times New Roman" w:cs="Times New Roman"/>
          <w:sz w:val="28"/>
          <w:szCs w:val="28"/>
        </w:rPr>
        <w:t xml:space="preserve">– </w:t>
      </w:r>
      <w:proofErr w:type="spellStart"/>
      <w:r w:rsidR="00297719">
        <w:rPr>
          <w:rFonts w:ascii="Times New Roman" w:hAnsi="Times New Roman" w:cs="Times New Roman"/>
          <w:sz w:val="28"/>
          <w:szCs w:val="28"/>
        </w:rPr>
        <w:t>n.d.r.</w:t>
      </w:r>
      <w:proofErr w:type="spellEnd"/>
      <w:r w:rsidR="001A3E10">
        <w:rPr>
          <w:rFonts w:ascii="Times New Roman" w:hAnsi="Times New Roman" w:cs="Times New Roman"/>
          <w:sz w:val="28"/>
          <w:szCs w:val="28"/>
        </w:rPr>
        <w:t xml:space="preserve">: ai debitori - </w:t>
      </w:r>
      <w:r w:rsidRPr="0034517F">
        <w:rPr>
          <w:rFonts w:ascii="Times New Roman" w:hAnsi="Times New Roman" w:cs="Times New Roman"/>
          <w:i/>
          <w:sz w:val="28"/>
          <w:szCs w:val="28"/>
        </w:rPr>
        <w:t xml:space="preserve">degli atti di precetto; </w:t>
      </w:r>
      <w:r w:rsidR="00C27B85">
        <w:rPr>
          <w:rFonts w:ascii="Times New Roman" w:hAnsi="Times New Roman" w:cs="Times New Roman"/>
          <w:i/>
          <w:sz w:val="28"/>
          <w:szCs w:val="28"/>
        </w:rPr>
        <w:t>CHE POI L’AMMINISTRATORE NON ABBIA INTRAPRESO LA PROCEDURA ESECUTIVA VERA E PROPRIA E’ SCELTA CHE PUO’ GIUSTIFICARSI SULLA BASE DELLA NON SICURA SOLVIBILITA’ DEI CONDOMINI E, QUINDI, NON INTEGRA IN SE’ UN FATTO DI MALA GESTIO”.</w:t>
      </w:r>
    </w:p>
    <w:p w:rsidR="0034517F" w:rsidRDefault="0034517F" w:rsidP="00925B46">
      <w:pPr>
        <w:jc w:val="both"/>
        <w:rPr>
          <w:rFonts w:ascii="Times New Roman" w:hAnsi="Times New Roman" w:cs="Times New Roman"/>
          <w:sz w:val="28"/>
          <w:szCs w:val="28"/>
        </w:rPr>
      </w:pPr>
      <w:r>
        <w:rPr>
          <w:rFonts w:ascii="Times New Roman" w:hAnsi="Times New Roman" w:cs="Times New Roman"/>
          <w:sz w:val="28"/>
          <w:szCs w:val="28"/>
        </w:rPr>
        <w:t>La Suprema Corte, accogliendo la proposta di definizione avanzata dal Relatore della sezione</w:t>
      </w:r>
      <w:r w:rsidR="00877411">
        <w:rPr>
          <w:rFonts w:ascii="Times New Roman" w:hAnsi="Times New Roman" w:cs="Times New Roman"/>
          <w:sz w:val="28"/>
          <w:szCs w:val="28"/>
        </w:rPr>
        <w:t>, che aveva</w:t>
      </w:r>
      <w:r>
        <w:rPr>
          <w:rFonts w:ascii="Times New Roman" w:hAnsi="Times New Roman" w:cs="Times New Roman"/>
          <w:sz w:val="28"/>
          <w:szCs w:val="28"/>
        </w:rPr>
        <w:t xml:space="preserve"> confermato </w:t>
      </w:r>
      <w:r w:rsidR="006D7A3E">
        <w:rPr>
          <w:rFonts w:ascii="Times New Roman" w:hAnsi="Times New Roman" w:cs="Times New Roman"/>
          <w:sz w:val="28"/>
          <w:szCs w:val="28"/>
        </w:rPr>
        <w:t xml:space="preserve">in pieno </w:t>
      </w:r>
      <w:r>
        <w:rPr>
          <w:rFonts w:ascii="Times New Roman" w:hAnsi="Times New Roman" w:cs="Times New Roman"/>
          <w:sz w:val="28"/>
          <w:szCs w:val="28"/>
        </w:rPr>
        <w:t>il p</w:t>
      </w:r>
      <w:r w:rsidR="00877411">
        <w:rPr>
          <w:rFonts w:ascii="Times New Roman" w:hAnsi="Times New Roman" w:cs="Times New Roman"/>
          <w:sz w:val="28"/>
          <w:szCs w:val="28"/>
        </w:rPr>
        <w:t>rincipio di diritto sancito dalla corte calabrese</w:t>
      </w:r>
      <w:r>
        <w:rPr>
          <w:rFonts w:ascii="Times New Roman" w:hAnsi="Times New Roman" w:cs="Times New Roman"/>
          <w:sz w:val="28"/>
          <w:szCs w:val="28"/>
        </w:rPr>
        <w:t xml:space="preserve">, </w:t>
      </w:r>
      <w:r w:rsidR="006D7A3E">
        <w:rPr>
          <w:rFonts w:ascii="Times New Roman" w:hAnsi="Times New Roman" w:cs="Times New Roman"/>
          <w:sz w:val="28"/>
          <w:szCs w:val="28"/>
        </w:rPr>
        <w:t xml:space="preserve">decidendo in camera di consiglio </w:t>
      </w:r>
      <w:r>
        <w:rPr>
          <w:rFonts w:ascii="Times New Roman" w:hAnsi="Times New Roman" w:cs="Times New Roman"/>
          <w:sz w:val="28"/>
          <w:szCs w:val="28"/>
        </w:rPr>
        <w:t>ha rigettato il ricorso per sua manifesta infondatezza.</w:t>
      </w:r>
    </w:p>
    <w:p w:rsidR="0034517F" w:rsidRDefault="0034517F" w:rsidP="00925B46">
      <w:pPr>
        <w:jc w:val="both"/>
        <w:rPr>
          <w:rFonts w:ascii="Times New Roman" w:hAnsi="Times New Roman" w:cs="Times New Roman"/>
          <w:sz w:val="28"/>
          <w:szCs w:val="28"/>
        </w:rPr>
      </w:pPr>
      <w:r>
        <w:rPr>
          <w:rFonts w:ascii="Times New Roman" w:hAnsi="Times New Roman" w:cs="Times New Roman"/>
          <w:sz w:val="28"/>
          <w:szCs w:val="28"/>
        </w:rPr>
        <w:t xml:space="preserve">Vi è da osservare che tale importante </w:t>
      </w:r>
      <w:r w:rsidR="001021E3">
        <w:rPr>
          <w:rFonts w:ascii="Times New Roman" w:hAnsi="Times New Roman" w:cs="Times New Roman"/>
          <w:sz w:val="28"/>
          <w:szCs w:val="28"/>
        </w:rPr>
        <w:t>decisione</w:t>
      </w:r>
      <w:r>
        <w:rPr>
          <w:rFonts w:ascii="Times New Roman" w:hAnsi="Times New Roman" w:cs="Times New Roman"/>
          <w:sz w:val="28"/>
          <w:szCs w:val="28"/>
        </w:rPr>
        <w:t xml:space="preserve"> si riferisce ad un caso sorto in vigenza della precedente disciplina, quando ancora non esisteva </w:t>
      </w:r>
      <w:r w:rsidR="009375D9">
        <w:rPr>
          <w:rFonts w:ascii="Times New Roman" w:hAnsi="Times New Roman" w:cs="Times New Roman"/>
          <w:sz w:val="28"/>
          <w:szCs w:val="28"/>
        </w:rPr>
        <w:t xml:space="preserve">il </w:t>
      </w:r>
      <w:r w:rsidR="00877411">
        <w:rPr>
          <w:rFonts w:ascii="Times New Roman" w:hAnsi="Times New Roman" w:cs="Times New Roman"/>
          <w:sz w:val="28"/>
          <w:szCs w:val="28"/>
        </w:rPr>
        <w:t>nuovo articolo 1129 c.c. ed in particolare il suo nono comma</w:t>
      </w:r>
      <w:r w:rsidR="009375D9">
        <w:rPr>
          <w:rFonts w:ascii="Times New Roman" w:hAnsi="Times New Roman" w:cs="Times New Roman"/>
          <w:sz w:val="28"/>
          <w:szCs w:val="28"/>
        </w:rPr>
        <w:t>.</w:t>
      </w:r>
    </w:p>
    <w:p w:rsidR="009375D9" w:rsidRDefault="006D7A3E" w:rsidP="00925B46">
      <w:pPr>
        <w:jc w:val="both"/>
        <w:rPr>
          <w:rFonts w:ascii="Times New Roman" w:hAnsi="Times New Roman" w:cs="Times New Roman"/>
          <w:sz w:val="28"/>
          <w:szCs w:val="28"/>
        </w:rPr>
      </w:pPr>
      <w:r>
        <w:rPr>
          <w:rFonts w:ascii="Times New Roman" w:hAnsi="Times New Roman" w:cs="Times New Roman"/>
          <w:sz w:val="28"/>
          <w:szCs w:val="28"/>
        </w:rPr>
        <w:t>E’ allora da domandarsi se t</w:t>
      </w:r>
      <w:r w:rsidR="009375D9">
        <w:rPr>
          <w:rFonts w:ascii="Times New Roman" w:hAnsi="Times New Roman" w:cs="Times New Roman"/>
          <w:sz w:val="28"/>
          <w:szCs w:val="28"/>
        </w:rPr>
        <w:t>ale decisione sarebbe stata presa anch</w:t>
      </w:r>
      <w:r>
        <w:rPr>
          <w:rFonts w:ascii="Times New Roman" w:hAnsi="Times New Roman" w:cs="Times New Roman"/>
          <w:sz w:val="28"/>
          <w:szCs w:val="28"/>
        </w:rPr>
        <w:t>e in costanza della nuova norma.</w:t>
      </w:r>
    </w:p>
    <w:p w:rsidR="009375D9" w:rsidRDefault="009375D9" w:rsidP="00925B46">
      <w:pPr>
        <w:jc w:val="both"/>
        <w:rPr>
          <w:rFonts w:ascii="Times New Roman" w:hAnsi="Times New Roman" w:cs="Times New Roman"/>
          <w:sz w:val="28"/>
          <w:szCs w:val="28"/>
        </w:rPr>
      </w:pPr>
      <w:r>
        <w:rPr>
          <w:rFonts w:ascii="Times New Roman" w:hAnsi="Times New Roman" w:cs="Times New Roman"/>
          <w:sz w:val="28"/>
          <w:szCs w:val="28"/>
        </w:rPr>
        <w:t>Non si crede.</w:t>
      </w:r>
    </w:p>
    <w:p w:rsidR="009375D9" w:rsidRDefault="009375D9" w:rsidP="00925B46">
      <w:pPr>
        <w:jc w:val="both"/>
        <w:rPr>
          <w:rFonts w:ascii="Times New Roman" w:hAnsi="Times New Roman" w:cs="Times New Roman"/>
          <w:sz w:val="28"/>
          <w:szCs w:val="28"/>
        </w:rPr>
      </w:pPr>
      <w:r>
        <w:rPr>
          <w:rFonts w:ascii="Times New Roman" w:hAnsi="Times New Roman" w:cs="Times New Roman"/>
          <w:sz w:val="28"/>
          <w:szCs w:val="28"/>
        </w:rPr>
        <w:t>Il predetto nono comma contiene alcune importanti precisazioni.</w:t>
      </w:r>
    </w:p>
    <w:p w:rsidR="009375D9" w:rsidRDefault="009375D9" w:rsidP="00925B46">
      <w:pPr>
        <w:jc w:val="both"/>
        <w:rPr>
          <w:rFonts w:ascii="Times New Roman" w:hAnsi="Times New Roman" w:cs="Times New Roman"/>
          <w:sz w:val="28"/>
          <w:szCs w:val="28"/>
        </w:rPr>
      </w:pPr>
      <w:r>
        <w:rPr>
          <w:rFonts w:ascii="Times New Roman" w:hAnsi="Times New Roman" w:cs="Times New Roman"/>
          <w:sz w:val="28"/>
          <w:szCs w:val="28"/>
        </w:rPr>
        <w:t>L’amministratore è tenuto ad agire “</w:t>
      </w:r>
      <w:r>
        <w:rPr>
          <w:rFonts w:ascii="Times New Roman" w:hAnsi="Times New Roman" w:cs="Times New Roman"/>
          <w:i/>
          <w:sz w:val="28"/>
          <w:szCs w:val="28"/>
        </w:rPr>
        <w:t>SALVO CHE SIA STATO ESPRESSAMENTE DISPENSATO DALL’ASSEMBLEA</w:t>
      </w:r>
      <w:r>
        <w:rPr>
          <w:rFonts w:ascii="Times New Roman" w:hAnsi="Times New Roman" w:cs="Times New Roman"/>
          <w:sz w:val="28"/>
          <w:szCs w:val="28"/>
        </w:rPr>
        <w:t>”.</w:t>
      </w:r>
    </w:p>
    <w:p w:rsidR="009375D9" w:rsidRDefault="00877411" w:rsidP="00925B46">
      <w:pPr>
        <w:jc w:val="both"/>
        <w:rPr>
          <w:rFonts w:ascii="Times New Roman" w:hAnsi="Times New Roman" w:cs="Times New Roman"/>
          <w:sz w:val="28"/>
          <w:szCs w:val="28"/>
        </w:rPr>
      </w:pPr>
      <w:r>
        <w:rPr>
          <w:rFonts w:ascii="Times New Roman" w:hAnsi="Times New Roman" w:cs="Times New Roman"/>
          <w:sz w:val="28"/>
          <w:szCs w:val="28"/>
        </w:rPr>
        <w:t>A seguito di tale perentorio disposto s</w:t>
      </w:r>
      <w:r w:rsidR="009375D9">
        <w:rPr>
          <w:rFonts w:ascii="Times New Roman" w:hAnsi="Times New Roman" w:cs="Times New Roman"/>
          <w:sz w:val="28"/>
          <w:szCs w:val="28"/>
        </w:rPr>
        <w:t xml:space="preserve">embra non esservi più spazio </w:t>
      </w:r>
      <w:r w:rsidR="006D7A3E">
        <w:rPr>
          <w:rFonts w:ascii="Times New Roman" w:hAnsi="Times New Roman" w:cs="Times New Roman"/>
          <w:sz w:val="28"/>
          <w:szCs w:val="28"/>
        </w:rPr>
        <w:t xml:space="preserve">per alcuna autonoma decisione </w:t>
      </w:r>
      <w:r>
        <w:rPr>
          <w:rFonts w:ascii="Times New Roman" w:hAnsi="Times New Roman" w:cs="Times New Roman"/>
          <w:sz w:val="28"/>
          <w:szCs w:val="28"/>
        </w:rPr>
        <w:t>da parte dell’amm</w:t>
      </w:r>
      <w:r w:rsidR="006D7A3E">
        <w:rPr>
          <w:rFonts w:ascii="Times New Roman" w:hAnsi="Times New Roman" w:cs="Times New Roman"/>
          <w:sz w:val="28"/>
          <w:szCs w:val="28"/>
        </w:rPr>
        <w:t>i</w:t>
      </w:r>
      <w:r>
        <w:rPr>
          <w:rFonts w:ascii="Times New Roman" w:hAnsi="Times New Roman" w:cs="Times New Roman"/>
          <w:sz w:val="28"/>
          <w:szCs w:val="28"/>
        </w:rPr>
        <w:t>nistratore.</w:t>
      </w:r>
    </w:p>
    <w:p w:rsidR="009375D9" w:rsidRDefault="009375D9" w:rsidP="00925B46">
      <w:pPr>
        <w:jc w:val="both"/>
        <w:rPr>
          <w:rFonts w:ascii="Times New Roman" w:hAnsi="Times New Roman" w:cs="Times New Roman"/>
          <w:sz w:val="28"/>
          <w:szCs w:val="28"/>
        </w:rPr>
      </w:pPr>
      <w:r>
        <w:rPr>
          <w:rFonts w:ascii="Times New Roman" w:hAnsi="Times New Roman" w:cs="Times New Roman"/>
          <w:sz w:val="28"/>
          <w:szCs w:val="28"/>
        </w:rPr>
        <w:t xml:space="preserve">L’unico organo titolato a </w:t>
      </w:r>
      <w:r w:rsidR="00877411">
        <w:rPr>
          <w:rFonts w:ascii="Times New Roman" w:hAnsi="Times New Roman" w:cs="Times New Roman"/>
          <w:sz w:val="28"/>
          <w:szCs w:val="28"/>
        </w:rPr>
        <w:t xml:space="preserve">decidere di </w:t>
      </w:r>
      <w:r>
        <w:rPr>
          <w:rFonts w:ascii="Times New Roman" w:hAnsi="Times New Roman" w:cs="Times New Roman"/>
          <w:sz w:val="28"/>
          <w:szCs w:val="28"/>
        </w:rPr>
        <w:t xml:space="preserve">non agire </w:t>
      </w:r>
      <w:r w:rsidR="006D7A3E">
        <w:rPr>
          <w:rFonts w:ascii="Times New Roman" w:hAnsi="Times New Roman" w:cs="Times New Roman"/>
          <w:sz w:val="28"/>
          <w:szCs w:val="28"/>
        </w:rPr>
        <w:t xml:space="preserve">nei confronti dei condomini morosi </w:t>
      </w:r>
      <w:r>
        <w:rPr>
          <w:rFonts w:ascii="Times New Roman" w:hAnsi="Times New Roman" w:cs="Times New Roman"/>
          <w:sz w:val="28"/>
          <w:szCs w:val="28"/>
        </w:rPr>
        <w:t>è</w:t>
      </w:r>
      <w:r w:rsidR="006D7A3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expressis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verbis</w:t>
      </w:r>
      <w:proofErr w:type="spellEnd"/>
      <w:r w:rsidR="006D7A3E">
        <w:rPr>
          <w:rFonts w:ascii="Times New Roman" w:hAnsi="Times New Roman" w:cs="Times New Roman"/>
          <w:sz w:val="28"/>
          <w:szCs w:val="28"/>
        </w:rPr>
        <w:t xml:space="preserve">, l’assemblea dei condomini (che deve decidere con le maggioranze di cui all’art. 1136, secondo comma, c.c., </w:t>
      </w:r>
      <w:r w:rsidR="00A23F07">
        <w:rPr>
          <w:rFonts w:ascii="Times New Roman" w:hAnsi="Times New Roman" w:cs="Times New Roman"/>
          <w:sz w:val="28"/>
          <w:szCs w:val="28"/>
        </w:rPr>
        <w:t xml:space="preserve">espressamente </w:t>
      </w:r>
      <w:r w:rsidR="006D7A3E">
        <w:rPr>
          <w:rFonts w:ascii="Times New Roman" w:hAnsi="Times New Roman" w:cs="Times New Roman"/>
          <w:sz w:val="28"/>
          <w:szCs w:val="28"/>
        </w:rPr>
        <w:t>richiamato dal successivo quarto comma</w:t>
      </w:r>
      <w:r w:rsidR="00A23F07">
        <w:rPr>
          <w:rFonts w:ascii="Times New Roman" w:hAnsi="Times New Roman" w:cs="Times New Roman"/>
          <w:sz w:val="28"/>
          <w:szCs w:val="28"/>
        </w:rPr>
        <w:t>).</w:t>
      </w:r>
    </w:p>
    <w:p w:rsidR="00877411" w:rsidRDefault="009375D9" w:rsidP="00925B46">
      <w:pPr>
        <w:jc w:val="both"/>
        <w:rPr>
          <w:rFonts w:ascii="Times New Roman" w:hAnsi="Times New Roman" w:cs="Times New Roman"/>
          <w:sz w:val="28"/>
          <w:szCs w:val="28"/>
        </w:rPr>
      </w:pPr>
      <w:r>
        <w:rPr>
          <w:rFonts w:ascii="Times New Roman" w:hAnsi="Times New Roman" w:cs="Times New Roman"/>
          <w:sz w:val="28"/>
          <w:szCs w:val="28"/>
        </w:rPr>
        <w:t xml:space="preserve">In secondo luogo la </w:t>
      </w:r>
      <w:r w:rsidR="00877411">
        <w:rPr>
          <w:rFonts w:ascii="Times New Roman" w:hAnsi="Times New Roman" w:cs="Times New Roman"/>
          <w:sz w:val="28"/>
          <w:szCs w:val="28"/>
        </w:rPr>
        <w:t xml:space="preserve">stessa </w:t>
      </w:r>
      <w:r>
        <w:rPr>
          <w:rFonts w:ascii="Times New Roman" w:hAnsi="Times New Roman" w:cs="Times New Roman"/>
          <w:sz w:val="28"/>
          <w:szCs w:val="28"/>
        </w:rPr>
        <w:t xml:space="preserve">norma </w:t>
      </w:r>
      <w:r w:rsidR="00877411">
        <w:rPr>
          <w:rFonts w:ascii="Times New Roman" w:hAnsi="Times New Roman" w:cs="Times New Roman"/>
          <w:sz w:val="28"/>
          <w:szCs w:val="28"/>
        </w:rPr>
        <w:t xml:space="preserve">introdotta con la riforma del condominio </w:t>
      </w:r>
      <w:r>
        <w:rPr>
          <w:rFonts w:ascii="Times New Roman" w:hAnsi="Times New Roman" w:cs="Times New Roman"/>
          <w:sz w:val="28"/>
          <w:szCs w:val="28"/>
        </w:rPr>
        <w:t>recita espressamente che l’</w:t>
      </w:r>
      <w:r w:rsidR="00A23F07">
        <w:rPr>
          <w:rFonts w:ascii="Times New Roman" w:hAnsi="Times New Roman" w:cs="Times New Roman"/>
          <w:sz w:val="28"/>
          <w:szCs w:val="28"/>
        </w:rPr>
        <w:t>azione</w:t>
      </w:r>
      <w:r w:rsidR="00877411">
        <w:rPr>
          <w:rFonts w:ascii="Times New Roman" w:hAnsi="Times New Roman" w:cs="Times New Roman"/>
          <w:sz w:val="28"/>
          <w:szCs w:val="28"/>
        </w:rPr>
        <w:t xml:space="preserve"> in questione </w:t>
      </w:r>
      <w:r>
        <w:rPr>
          <w:rFonts w:ascii="Times New Roman" w:hAnsi="Times New Roman" w:cs="Times New Roman"/>
          <w:sz w:val="28"/>
          <w:szCs w:val="28"/>
        </w:rPr>
        <w:t>riguarda “</w:t>
      </w:r>
      <w:r>
        <w:rPr>
          <w:rFonts w:ascii="Times New Roman" w:hAnsi="Times New Roman" w:cs="Times New Roman"/>
          <w:i/>
          <w:sz w:val="28"/>
          <w:szCs w:val="28"/>
        </w:rPr>
        <w:t>LA RISCOSSIONE FORZOSA DELLE SOMME DOVUTE DAGLI OBLIGATI</w:t>
      </w:r>
      <w:r>
        <w:rPr>
          <w:rFonts w:ascii="Times New Roman" w:hAnsi="Times New Roman" w:cs="Times New Roman"/>
          <w:sz w:val="28"/>
          <w:szCs w:val="28"/>
        </w:rPr>
        <w:t>”</w:t>
      </w:r>
      <w:r w:rsidR="00877411">
        <w:rPr>
          <w:rFonts w:ascii="Times New Roman" w:hAnsi="Times New Roman" w:cs="Times New Roman"/>
          <w:sz w:val="28"/>
          <w:szCs w:val="28"/>
        </w:rPr>
        <w:t>.</w:t>
      </w:r>
    </w:p>
    <w:p w:rsidR="00A23F07" w:rsidRDefault="00877411" w:rsidP="00925B46">
      <w:pPr>
        <w:jc w:val="both"/>
        <w:rPr>
          <w:rFonts w:ascii="Times New Roman" w:hAnsi="Times New Roman" w:cs="Times New Roman"/>
          <w:sz w:val="28"/>
          <w:szCs w:val="28"/>
        </w:rPr>
      </w:pPr>
      <w:r>
        <w:rPr>
          <w:rFonts w:ascii="Times New Roman" w:hAnsi="Times New Roman" w:cs="Times New Roman"/>
          <w:sz w:val="28"/>
          <w:szCs w:val="28"/>
        </w:rPr>
        <w:t>Tale dizione</w:t>
      </w:r>
      <w:r w:rsidR="00A23F07">
        <w:rPr>
          <w:rFonts w:ascii="Times New Roman" w:hAnsi="Times New Roman" w:cs="Times New Roman"/>
          <w:sz w:val="28"/>
          <w:szCs w:val="28"/>
        </w:rPr>
        <w:t xml:space="preserve"> (“</w:t>
      </w:r>
      <w:r w:rsidR="00A23F07" w:rsidRPr="00A23F07">
        <w:rPr>
          <w:rFonts w:ascii="Times New Roman" w:hAnsi="Times New Roman" w:cs="Times New Roman"/>
          <w:i/>
          <w:sz w:val="28"/>
          <w:szCs w:val="28"/>
        </w:rPr>
        <w:t>riscossione forzosa</w:t>
      </w:r>
      <w:r w:rsidR="00A23F07">
        <w:rPr>
          <w:rFonts w:ascii="Times New Roman" w:hAnsi="Times New Roman" w:cs="Times New Roman"/>
          <w:sz w:val="28"/>
          <w:szCs w:val="28"/>
        </w:rPr>
        <w:t>”)</w:t>
      </w:r>
      <w:r w:rsidR="009375D9">
        <w:rPr>
          <w:rFonts w:ascii="Times New Roman" w:hAnsi="Times New Roman" w:cs="Times New Roman"/>
          <w:sz w:val="28"/>
          <w:szCs w:val="28"/>
        </w:rPr>
        <w:t xml:space="preserve"> a mio modo di vedere, </w:t>
      </w:r>
      <w:r>
        <w:rPr>
          <w:rFonts w:ascii="Times New Roman" w:hAnsi="Times New Roman" w:cs="Times New Roman"/>
          <w:sz w:val="28"/>
          <w:szCs w:val="28"/>
        </w:rPr>
        <w:t xml:space="preserve">fa </w:t>
      </w:r>
      <w:r w:rsidR="009375D9">
        <w:rPr>
          <w:rFonts w:ascii="Times New Roman" w:hAnsi="Times New Roman" w:cs="Times New Roman"/>
          <w:sz w:val="28"/>
          <w:szCs w:val="28"/>
        </w:rPr>
        <w:t>esplicito riferimento all’azione esecutiva</w:t>
      </w:r>
      <w:r w:rsidR="00A23F07">
        <w:rPr>
          <w:rFonts w:ascii="Times New Roman" w:hAnsi="Times New Roman" w:cs="Times New Roman"/>
          <w:sz w:val="28"/>
          <w:szCs w:val="28"/>
        </w:rPr>
        <w:t>.</w:t>
      </w:r>
    </w:p>
    <w:p w:rsidR="009375D9" w:rsidRDefault="00A23F07" w:rsidP="00925B46">
      <w:pPr>
        <w:jc w:val="both"/>
        <w:rPr>
          <w:rFonts w:ascii="Times New Roman" w:hAnsi="Times New Roman" w:cs="Times New Roman"/>
          <w:sz w:val="28"/>
          <w:szCs w:val="28"/>
        </w:rPr>
      </w:pPr>
      <w:r>
        <w:rPr>
          <w:rFonts w:ascii="Times New Roman" w:hAnsi="Times New Roman" w:cs="Times New Roman"/>
          <w:sz w:val="28"/>
          <w:szCs w:val="28"/>
        </w:rPr>
        <w:lastRenderedPageBreak/>
        <w:t>Azione che viene dopo quella di accertamento del credito e costituzione del titolo (ottenimento del decreto ingiuntivo)</w:t>
      </w:r>
      <w:r w:rsidR="009375D9">
        <w:rPr>
          <w:rFonts w:ascii="Times New Roman" w:hAnsi="Times New Roman" w:cs="Times New Roman"/>
          <w:sz w:val="28"/>
          <w:szCs w:val="28"/>
        </w:rPr>
        <w:t xml:space="preserve"> e</w:t>
      </w:r>
      <w:r>
        <w:rPr>
          <w:rFonts w:ascii="Times New Roman" w:hAnsi="Times New Roman" w:cs="Times New Roman"/>
          <w:sz w:val="28"/>
          <w:szCs w:val="28"/>
        </w:rPr>
        <w:t>d anche - con</w:t>
      </w:r>
      <w:r w:rsidR="00A3607C">
        <w:rPr>
          <w:rFonts w:ascii="Times New Roman" w:hAnsi="Times New Roman" w:cs="Times New Roman"/>
          <w:sz w:val="28"/>
          <w:szCs w:val="28"/>
        </w:rPr>
        <w:t xml:space="preserve"> riferimento all’ordinanza d</w:t>
      </w:r>
      <w:r w:rsidR="00877411">
        <w:rPr>
          <w:rFonts w:ascii="Times New Roman" w:hAnsi="Times New Roman" w:cs="Times New Roman"/>
          <w:sz w:val="28"/>
          <w:szCs w:val="28"/>
        </w:rPr>
        <w:t>e</w:t>
      </w:r>
      <w:r w:rsidR="00A3607C">
        <w:rPr>
          <w:rFonts w:ascii="Times New Roman" w:hAnsi="Times New Roman" w:cs="Times New Roman"/>
          <w:sz w:val="28"/>
          <w:szCs w:val="28"/>
        </w:rPr>
        <w:t>lla Cassazione</w:t>
      </w:r>
      <w:r w:rsidR="00877411">
        <w:rPr>
          <w:rFonts w:ascii="Times New Roman" w:hAnsi="Times New Roman" w:cs="Times New Roman"/>
          <w:sz w:val="28"/>
          <w:szCs w:val="28"/>
        </w:rPr>
        <w:t xml:space="preserve"> </w:t>
      </w:r>
      <w:r>
        <w:rPr>
          <w:rFonts w:ascii="Times New Roman" w:hAnsi="Times New Roman" w:cs="Times New Roman"/>
          <w:sz w:val="28"/>
          <w:szCs w:val="28"/>
        </w:rPr>
        <w:t>–</w:t>
      </w:r>
      <w:r w:rsidR="00877411">
        <w:rPr>
          <w:rFonts w:ascii="Times New Roman" w:hAnsi="Times New Roman" w:cs="Times New Roman"/>
          <w:sz w:val="28"/>
          <w:szCs w:val="28"/>
        </w:rPr>
        <w:t xml:space="preserve"> </w:t>
      </w:r>
      <w:r>
        <w:rPr>
          <w:rFonts w:ascii="Times New Roman" w:hAnsi="Times New Roman" w:cs="Times New Roman"/>
          <w:sz w:val="28"/>
          <w:szCs w:val="28"/>
        </w:rPr>
        <w:t xml:space="preserve">dopo la </w:t>
      </w:r>
      <w:r w:rsidR="009375D9">
        <w:rPr>
          <w:rFonts w:ascii="Times New Roman" w:hAnsi="Times New Roman" w:cs="Times New Roman"/>
          <w:sz w:val="28"/>
          <w:szCs w:val="28"/>
        </w:rPr>
        <w:t>notifica dell’</w:t>
      </w:r>
      <w:r w:rsidR="00877411">
        <w:rPr>
          <w:rFonts w:ascii="Times New Roman" w:hAnsi="Times New Roman" w:cs="Times New Roman"/>
          <w:sz w:val="28"/>
          <w:szCs w:val="28"/>
        </w:rPr>
        <w:t>atto di precetto</w:t>
      </w:r>
      <w:r w:rsidR="00D36369">
        <w:rPr>
          <w:rFonts w:ascii="Times New Roman" w:hAnsi="Times New Roman" w:cs="Times New Roman"/>
          <w:sz w:val="28"/>
          <w:szCs w:val="28"/>
        </w:rPr>
        <w:t>,</w:t>
      </w:r>
      <w:r w:rsidR="00877411">
        <w:rPr>
          <w:rFonts w:ascii="Times New Roman" w:hAnsi="Times New Roman" w:cs="Times New Roman"/>
          <w:sz w:val="28"/>
          <w:szCs w:val="28"/>
        </w:rPr>
        <w:t xml:space="preserve"> che la giurisprudenza </w:t>
      </w:r>
      <w:r w:rsidR="00D36369">
        <w:rPr>
          <w:rFonts w:ascii="Times New Roman" w:hAnsi="Times New Roman" w:cs="Times New Roman"/>
          <w:sz w:val="28"/>
          <w:szCs w:val="28"/>
        </w:rPr>
        <w:t>maggioritaria, tra l’altro, non ricomprende neppure tra gli atti dell’esecuzione.</w:t>
      </w:r>
    </w:p>
    <w:p w:rsidR="009375D9" w:rsidRDefault="009375D9" w:rsidP="00925B46">
      <w:pPr>
        <w:jc w:val="both"/>
        <w:rPr>
          <w:rFonts w:ascii="Times New Roman" w:hAnsi="Times New Roman" w:cs="Times New Roman"/>
          <w:sz w:val="28"/>
          <w:szCs w:val="28"/>
        </w:rPr>
      </w:pPr>
      <w:r>
        <w:rPr>
          <w:rFonts w:ascii="Times New Roman" w:hAnsi="Times New Roman" w:cs="Times New Roman"/>
          <w:sz w:val="28"/>
          <w:szCs w:val="28"/>
        </w:rPr>
        <w:t xml:space="preserve">Il quadro normativo va poi integrato con </w:t>
      </w:r>
      <w:r w:rsidR="00925B46">
        <w:rPr>
          <w:rFonts w:ascii="Times New Roman" w:hAnsi="Times New Roman" w:cs="Times New Roman"/>
          <w:sz w:val="28"/>
          <w:szCs w:val="28"/>
        </w:rPr>
        <w:t>un altra importante previsione</w:t>
      </w:r>
      <w:r w:rsidR="00D36369">
        <w:rPr>
          <w:rFonts w:ascii="Times New Roman" w:hAnsi="Times New Roman" w:cs="Times New Roman"/>
          <w:sz w:val="28"/>
          <w:szCs w:val="28"/>
        </w:rPr>
        <w:t xml:space="preserve"> di legge.</w:t>
      </w:r>
    </w:p>
    <w:p w:rsidR="009375D9" w:rsidRDefault="00D36369" w:rsidP="00925B46">
      <w:pPr>
        <w:jc w:val="both"/>
        <w:rPr>
          <w:rFonts w:ascii="Times New Roman" w:hAnsi="Times New Roman" w:cs="Times New Roman"/>
          <w:sz w:val="28"/>
          <w:szCs w:val="28"/>
        </w:rPr>
      </w:pPr>
      <w:r>
        <w:rPr>
          <w:rFonts w:ascii="Times New Roman" w:hAnsi="Times New Roman" w:cs="Times New Roman"/>
          <w:sz w:val="28"/>
          <w:szCs w:val="28"/>
        </w:rPr>
        <w:t xml:space="preserve">Il comma 12 del nuovo </w:t>
      </w:r>
      <w:r w:rsidR="009375D9">
        <w:rPr>
          <w:rFonts w:ascii="Times New Roman" w:hAnsi="Times New Roman" w:cs="Times New Roman"/>
          <w:sz w:val="28"/>
          <w:szCs w:val="28"/>
        </w:rPr>
        <w:t xml:space="preserve">art. 1129 </w:t>
      </w:r>
      <w:r w:rsidR="00A3607C">
        <w:rPr>
          <w:rFonts w:ascii="Times New Roman" w:hAnsi="Times New Roman" w:cs="Times New Roman"/>
          <w:sz w:val="28"/>
          <w:szCs w:val="28"/>
        </w:rPr>
        <w:t xml:space="preserve">c.c. </w:t>
      </w:r>
      <w:r w:rsidR="009375D9">
        <w:rPr>
          <w:rFonts w:ascii="Times New Roman" w:hAnsi="Times New Roman" w:cs="Times New Roman"/>
          <w:sz w:val="28"/>
          <w:szCs w:val="28"/>
        </w:rPr>
        <w:t>recita espressamente che “</w:t>
      </w:r>
      <w:r w:rsidR="009375D9">
        <w:rPr>
          <w:rFonts w:ascii="Times New Roman" w:hAnsi="Times New Roman" w:cs="Times New Roman"/>
          <w:i/>
          <w:sz w:val="28"/>
          <w:szCs w:val="28"/>
        </w:rPr>
        <w:t>COSTITUISCONO, TRA LE ALTRE, GRAVI IRREGOLARITA’</w:t>
      </w:r>
      <w:r w:rsidR="00925B46">
        <w:rPr>
          <w:rFonts w:ascii="Times New Roman" w:hAnsi="Times New Roman" w:cs="Times New Roman"/>
          <w:i/>
          <w:sz w:val="28"/>
          <w:szCs w:val="28"/>
        </w:rPr>
        <w:t xml:space="preserve"> </w:t>
      </w:r>
      <w:r w:rsidR="00925B46">
        <w:rPr>
          <w:rFonts w:ascii="Times New Roman" w:hAnsi="Times New Roman" w:cs="Times New Roman"/>
          <w:sz w:val="28"/>
          <w:szCs w:val="28"/>
        </w:rPr>
        <w:t>(</w:t>
      </w:r>
      <w:proofErr w:type="spellStart"/>
      <w:r>
        <w:rPr>
          <w:rFonts w:ascii="Times New Roman" w:hAnsi="Times New Roman" w:cs="Times New Roman"/>
          <w:sz w:val="28"/>
          <w:szCs w:val="28"/>
        </w:rPr>
        <w:t>n.d.r.</w:t>
      </w:r>
      <w:proofErr w:type="spellEnd"/>
      <w:r>
        <w:rPr>
          <w:rFonts w:ascii="Times New Roman" w:hAnsi="Times New Roman" w:cs="Times New Roman"/>
          <w:sz w:val="28"/>
          <w:szCs w:val="28"/>
        </w:rPr>
        <w:t xml:space="preserve">: </w:t>
      </w:r>
      <w:r w:rsidR="00925B46">
        <w:rPr>
          <w:rFonts w:ascii="Times New Roman" w:hAnsi="Times New Roman" w:cs="Times New Roman"/>
          <w:sz w:val="28"/>
          <w:szCs w:val="28"/>
        </w:rPr>
        <w:t xml:space="preserve">che possono condurre alla revoca </w:t>
      </w:r>
      <w:r>
        <w:rPr>
          <w:rFonts w:ascii="Times New Roman" w:hAnsi="Times New Roman" w:cs="Times New Roman"/>
          <w:sz w:val="28"/>
          <w:szCs w:val="28"/>
        </w:rPr>
        <w:t xml:space="preserve">dell’amministratore </w:t>
      </w:r>
      <w:r w:rsidR="00925B46">
        <w:rPr>
          <w:rFonts w:ascii="Times New Roman" w:hAnsi="Times New Roman" w:cs="Times New Roman"/>
          <w:sz w:val="28"/>
          <w:szCs w:val="28"/>
        </w:rPr>
        <w:t>da parte dell’autorità giudiziaria)</w:t>
      </w:r>
      <w:r>
        <w:rPr>
          <w:rFonts w:ascii="Times New Roman" w:hAnsi="Times New Roman" w:cs="Times New Roman"/>
          <w:i/>
          <w:sz w:val="28"/>
          <w:szCs w:val="28"/>
        </w:rPr>
        <w:t>...omissis…</w:t>
      </w:r>
      <w:r w:rsidR="00FA3048">
        <w:rPr>
          <w:rFonts w:ascii="Times New Roman" w:hAnsi="Times New Roman" w:cs="Times New Roman"/>
          <w:i/>
          <w:sz w:val="28"/>
          <w:szCs w:val="28"/>
        </w:rPr>
        <w:t>6)QUALORA SIA STATA</w:t>
      </w:r>
      <w:r w:rsidR="00E45408">
        <w:rPr>
          <w:rFonts w:ascii="Times New Roman" w:hAnsi="Times New Roman" w:cs="Times New Roman"/>
          <w:i/>
          <w:sz w:val="28"/>
          <w:szCs w:val="28"/>
        </w:rPr>
        <w:t xml:space="preserve"> </w:t>
      </w:r>
      <w:bookmarkStart w:id="0" w:name="_GoBack"/>
      <w:bookmarkEnd w:id="0"/>
      <w:r w:rsidR="00FA3048">
        <w:rPr>
          <w:rFonts w:ascii="Times New Roman" w:hAnsi="Times New Roman" w:cs="Times New Roman"/>
          <w:i/>
          <w:sz w:val="28"/>
          <w:szCs w:val="28"/>
        </w:rPr>
        <w:t>PROMOSSA AZIONE GIUDIZIARIA PER LA RISCOSSIONE DELLE SOMME DOVUTE AL CONDOMINIO, L’AVER OMESSO DI CURARE DILIGENTEMENTE L’AZIONE E LA CONSEGUENTE ESECUZIONE COATTIVA”</w:t>
      </w:r>
      <w:r w:rsidR="00FA3048">
        <w:rPr>
          <w:rFonts w:ascii="Times New Roman" w:hAnsi="Times New Roman" w:cs="Times New Roman"/>
          <w:sz w:val="28"/>
          <w:szCs w:val="28"/>
        </w:rPr>
        <w:t>: riferimento, quest’ultimo, che sembra avvalorare la tesi sopra sostenuta.</w:t>
      </w:r>
    </w:p>
    <w:p w:rsidR="00D36369" w:rsidRDefault="00D36369" w:rsidP="00925B46">
      <w:pPr>
        <w:jc w:val="both"/>
        <w:rPr>
          <w:rFonts w:ascii="Times New Roman" w:hAnsi="Times New Roman" w:cs="Times New Roman"/>
          <w:sz w:val="28"/>
          <w:szCs w:val="28"/>
        </w:rPr>
      </w:pPr>
      <w:r>
        <w:rPr>
          <w:rFonts w:ascii="Times New Roman" w:hAnsi="Times New Roman" w:cs="Times New Roman"/>
          <w:sz w:val="28"/>
          <w:szCs w:val="28"/>
        </w:rPr>
        <w:t xml:space="preserve">Ne deriva che l’amministratore per andare esente da responsabilità deve non solo ottenere il decreto ingiuntivo (ex art. 63, primo comma, </w:t>
      </w:r>
      <w:proofErr w:type="spellStart"/>
      <w:r>
        <w:rPr>
          <w:rFonts w:ascii="Times New Roman" w:hAnsi="Times New Roman" w:cs="Times New Roman"/>
          <w:sz w:val="28"/>
          <w:szCs w:val="28"/>
        </w:rPr>
        <w:t>disp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att</w:t>
      </w:r>
      <w:proofErr w:type="spellEnd"/>
      <w:r>
        <w:rPr>
          <w:rFonts w:ascii="Times New Roman" w:hAnsi="Times New Roman" w:cs="Times New Roman"/>
          <w:sz w:val="28"/>
          <w:szCs w:val="28"/>
        </w:rPr>
        <w:t>. c.c.) ma anche darvi esecuzione.</w:t>
      </w:r>
    </w:p>
    <w:p w:rsidR="00D36369" w:rsidRDefault="00A23F07" w:rsidP="00925B46">
      <w:pPr>
        <w:jc w:val="both"/>
        <w:rPr>
          <w:rFonts w:ascii="Times New Roman" w:hAnsi="Times New Roman" w:cs="Times New Roman"/>
          <w:sz w:val="28"/>
          <w:szCs w:val="28"/>
        </w:rPr>
      </w:pPr>
      <w:r>
        <w:rPr>
          <w:rFonts w:ascii="Times New Roman" w:hAnsi="Times New Roman" w:cs="Times New Roman"/>
          <w:sz w:val="28"/>
          <w:szCs w:val="28"/>
        </w:rPr>
        <w:t>AVV. PIER PAOLO CAPPONI</w:t>
      </w:r>
    </w:p>
    <w:p w:rsidR="00FA3048" w:rsidRDefault="00FA3048" w:rsidP="00925B46">
      <w:pPr>
        <w:jc w:val="both"/>
        <w:rPr>
          <w:rFonts w:ascii="Times New Roman" w:hAnsi="Times New Roman" w:cs="Times New Roman"/>
          <w:sz w:val="28"/>
          <w:szCs w:val="28"/>
        </w:rPr>
      </w:pPr>
    </w:p>
    <w:p w:rsidR="00FA3048" w:rsidRPr="00FA3048" w:rsidRDefault="00FA3048" w:rsidP="00925B46">
      <w:pPr>
        <w:jc w:val="both"/>
        <w:rPr>
          <w:rFonts w:ascii="Times New Roman" w:hAnsi="Times New Roman" w:cs="Times New Roman"/>
          <w:sz w:val="28"/>
          <w:szCs w:val="28"/>
        </w:rPr>
      </w:pPr>
    </w:p>
    <w:p w:rsidR="0034517F" w:rsidRPr="0034517F" w:rsidRDefault="0034517F" w:rsidP="00925B46">
      <w:pPr>
        <w:jc w:val="both"/>
        <w:rPr>
          <w:rFonts w:ascii="Times New Roman" w:hAnsi="Times New Roman" w:cs="Times New Roman"/>
          <w:sz w:val="28"/>
          <w:szCs w:val="28"/>
        </w:rPr>
      </w:pPr>
    </w:p>
    <w:p w:rsidR="0034517F" w:rsidRPr="0034517F" w:rsidRDefault="0034517F" w:rsidP="00925B46">
      <w:pPr>
        <w:jc w:val="both"/>
        <w:rPr>
          <w:rFonts w:ascii="Times New Roman" w:hAnsi="Times New Roman" w:cs="Times New Roman"/>
          <w:sz w:val="28"/>
          <w:szCs w:val="28"/>
        </w:rPr>
      </w:pPr>
    </w:p>
    <w:sectPr w:rsidR="0034517F" w:rsidRPr="003451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altName w:val="Arial"/>
    <w:panose1 w:val="020B05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30"/>
    <w:rsid w:val="00003756"/>
    <w:rsid w:val="000A51D2"/>
    <w:rsid w:val="001021E3"/>
    <w:rsid w:val="001332C1"/>
    <w:rsid w:val="001A3E10"/>
    <w:rsid w:val="001B24CE"/>
    <w:rsid w:val="0020246A"/>
    <w:rsid w:val="00297719"/>
    <w:rsid w:val="003030F9"/>
    <w:rsid w:val="0034517F"/>
    <w:rsid w:val="00413F51"/>
    <w:rsid w:val="004D6689"/>
    <w:rsid w:val="006C1E9D"/>
    <w:rsid w:val="006D5A30"/>
    <w:rsid w:val="006D7A3E"/>
    <w:rsid w:val="00877411"/>
    <w:rsid w:val="008D36CA"/>
    <w:rsid w:val="00925B46"/>
    <w:rsid w:val="009375D9"/>
    <w:rsid w:val="00A23F07"/>
    <w:rsid w:val="00A3607C"/>
    <w:rsid w:val="00B7714F"/>
    <w:rsid w:val="00B86E94"/>
    <w:rsid w:val="00BF176E"/>
    <w:rsid w:val="00C27B85"/>
    <w:rsid w:val="00C67CD7"/>
    <w:rsid w:val="00CE6328"/>
    <w:rsid w:val="00CF0771"/>
    <w:rsid w:val="00D36369"/>
    <w:rsid w:val="00E42942"/>
    <w:rsid w:val="00E45408"/>
    <w:rsid w:val="00FA30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38416"/>
  <w15:docId w15:val="{22F56A06-95EA-784B-B2DD-D569B333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738</Words>
  <Characters>4213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Manager>Manager</Manager>
  <Company>Company</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Avv. Pier Paolo Capponi</dc:creator>
  <cp:keywords>Keywords</cp:keywords>
  <dc:description/>
  <cp:lastModifiedBy>PIER PAOLO CAPPONI</cp:lastModifiedBy>
  <cp:revision>22</cp:revision>
  <dcterms:created xsi:type="dcterms:W3CDTF">2013-09-13T16:36:00Z</dcterms:created>
  <dcterms:modified xsi:type="dcterms:W3CDTF">2016-05-11T08:04:00Z</dcterms:modified>
</cp:coreProperties>
</file>