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78" w:rsidRDefault="00426D78" w:rsidP="00EA0A28">
      <w:pPr>
        <w:jc w:val="both"/>
        <w:rPr>
          <w:rFonts w:ascii="Times New Roman" w:hAnsi="Times New Roman" w:cs="Times New Roman"/>
          <w:sz w:val="28"/>
          <w:szCs w:val="28"/>
        </w:rPr>
      </w:pPr>
      <w:r w:rsidRPr="00426D78">
        <w:rPr>
          <w:rFonts w:ascii="Times New Roman" w:hAnsi="Times New Roman" w:cs="Times New Roman"/>
          <w:sz w:val="28"/>
          <w:szCs w:val="28"/>
        </w:rPr>
        <w:t xml:space="preserve">SULLO SCIOGLIMENTO DEL CONDOMINIO - </w:t>
      </w:r>
      <w:r>
        <w:rPr>
          <w:rFonts w:ascii="Times New Roman" w:hAnsi="Times New Roman" w:cs="Times New Roman"/>
          <w:sz w:val="28"/>
          <w:szCs w:val="28"/>
        </w:rPr>
        <w:t>COMMENTO A TRIB. GENOVA N. 3422/</w:t>
      </w:r>
      <w:r w:rsidRPr="00426D78">
        <w:rPr>
          <w:rFonts w:ascii="Times New Roman" w:hAnsi="Times New Roman" w:cs="Times New Roman"/>
          <w:sz w:val="28"/>
          <w:szCs w:val="28"/>
        </w:rPr>
        <w:t>2016</w:t>
      </w:r>
    </w:p>
    <w:p w:rsidR="00426D78" w:rsidRDefault="00426D78" w:rsidP="00EA0A28">
      <w:pPr>
        <w:jc w:val="both"/>
        <w:rPr>
          <w:rFonts w:ascii="Times New Roman" w:hAnsi="Times New Roman" w:cs="Times New Roman"/>
          <w:sz w:val="28"/>
          <w:szCs w:val="28"/>
        </w:rPr>
      </w:pPr>
    </w:p>
    <w:p w:rsidR="00426D78" w:rsidRDefault="00426D78" w:rsidP="00EA0A28">
      <w:pPr>
        <w:jc w:val="both"/>
        <w:rPr>
          <w:rFonts w:ascii="Times New Roman" w:hAnsi="Times New Roman" w:cs="Times New Roman"/>
          <w:sz w:val="28"/>
          <w:szCs w:val="28"/>
        </w:rPr>
      </w:pPr>
      <w:r>
        <w:rPr>
          <w:rFonts w:ascii="Times New Roman" w:hAnsi="Times New Roman" w:cs="Times New Roman"/>
          <w:sz w:val="28"/>
          <w:szCs w:val="28"/>
        </w:rPr>
        <w:t xml:space="preserve">Con la sentenza n. 3422 del </w:t>
      </w:r>
      <w:r w:rsidR="00EA0A28">
        <w:rPr>
          <w:rFonts w:ascii="Times New Roman" w:hAnsi="Times New Roman" w:cs="Times New Roman"/>
          <w:sz w:val="28"/>
          <w:szCs w:val="28"/>
        </w:rPr>
        <w:t xml:space="preserve">10/11/2016, </w:t>
      </w:r>
      <w:r>
        <w:rPr>
          <w:rFonts w:ascii="Times New Roman" w:hAnsi="Times New Roman" w:cs="Times New Roman"/>
          <w:sz w:val="28"/>
          <w:szCs w:val="28"/>
        </w:rPr>
        <w:t xml:space="preserve">il Tribunale di Genova ha fissato alcuni punti fermi in materia di scioglimento del condominio, tutti </w:t>
      </w:r>
      <w:r w:rsidR="00EA0A28">
        <w:rPr>
          <w:rFonts w:ascii="Times New Roman" w:hAnsi="Times New Roman" w:cs="Times New Roman"/>
          <w:sz w:val="28"/>
          <w:szCs w:val="28"/>
        </w:rPr>
        <w:t xml:space="preserve">peraltro </w:t>
      </w:r>
      <w:r>
        <w:rPr>
          <w:rFonts w:ascii="Times New Roman" w:hAnsi="Times New Roman" w:cs="Times New Roman"/>
          <w:sz w:val="28"/>
          <w:szCs w:val="28"/>
        </w:rPr>
        <w:t>conformi alla pacifica e costante giurisprudenza della Suprema Corte.</w:t>
      </w:r>
    </w:p>
    <w:p w:rsidR="00426D78" w:rsidRDefault="00426D78" w:rsidP="00EA0A28">
      <w:pPr>
        <w:jc w:val="both"/>
        <w:rPr>
          <w:rFonts w:ascii="Times New Roman" w:hAnsi="Times New Roman" w:cs="Times New Roman"/>
          <w:sz w:val="28"/>
          <w:szCs w:val="28"/>
        </w:rPr>
      </w:pPr>
      <w:r>
        <w:rPr>
          <w:rFonts w:ascii="Times New Roman" w:hAnsi="Times New Roman" w:cs="Times New Roman"/>
          <w:sz w:val="28"/>
          <w:szCs w:val="28"/>
        </w:rPr>
        <w:t>1)</w:t>
      </w:r>
      <w:r w:rsidRPr="00426D78">
        <w:rPr>
          <w:rFonts w:ascii="Times New Roman" w:hAnsi="Times New Roman" w:cs="Times New Roman"/>
          <w:sz w:val="28"/>
          <w:szCs w:val="28"/>
        </w:rPr>
        <w:t>A norma degli artt</w:t>
      </w:r>
      <w:r>
        <w:rPr>
          <w:rFonts w:ascii="Times New Roman" w:hAnsi="Times New Roman" w:cs="Times New Roman"/>
          <w:sz w:val="28"/>
          <w:szCs w:val="28"/>
        </w:rPr>
        <w:t xml:space="preserve">. 61 e 62 disp. att. c.c., lo scioglimento di un condominio di un edificio o di un gruppo di edifici, appartenenti per piano o porzioni di piano a proprietari diversi, intanto può dare luogo alla costituzione di condomìni separati, in quanto l’immobile o gli immobili oggetto del condominio originario, possano dividersi in parti che abbiano le caratteristiche di edifici autonomi, quand’anche restino in </w:t>
      </w:r>
      <w:bookmarkStart w:id="0" w:name="_GoBack"/>
      <w:bookmarkEnd w:id="0"/>
      <w:r>
        <w:rPr>
          <w:rFonts w:ascii="Times New Roman" w:hAnsi="Times New Roman" w:cs="Times New Roman"/>
          <w:sz w:val="28"/>
          <w:szCs w:val="28"/>
        </w:rPr>
        <w:t>comune con gli originari partecipanti alcune delle cose indicate dall’art. 1117 c.c..</w:t>
      </w:r>
    </w:p>
    <w:p w:rsidR="00426D78" w:rsidRDefault="00426D78" w:rsidP="00EA0A28">
      <w:pPr>
        <w:jc w:val="both"/>
        <w:rPr>
          <w:rFonts w:ascii="Times New Roman" w:hAnsi="Times New Roman" w:cs="Times New Roman"/>
          <w:sz w:val="28"/>
          <w:szCs w:val="28"/>
        </w:rPr>
      </w:pPr>
      <w:r>
        <w:rPr>
          <w:rFonts w:ascii="Times New Roman" w:hAnsi="Times New Roman" w:cs="Times New Roman"/>
          <w:sz w:val="28"/>
          <w:szCs w:val="28"/>
        </w:rPr>
        <w:t>2)Alla stregua di una corretta interpretazione degli artt. 61 e 62 disp. att. c.c.</w:t>
      </w:r>
      <w:r w:rsidR="00764F19">
        <w:rPr>
          <w:rFonts w:ascii="Times New Roman" w:hAnsi="Times New Roman" w:cs="Times New Roman"/>
          <w:sz w:val="28"/>
          <w:szCs w:val="28"/>
        </w:rPr>
        <w:t>, l’autorità giudiziaria può disporre lo scioglimento del condominio solo quando il complesso immobiliare sia suscettibile di divisione, senza che si debba attuare</w:t>
      </w:r>
      <w:r>
        <w:rPr>
          <w:rFonts w:ascii="Times New Roman" w:hAnsi="Times New Roman" w:cs="Times New Roman"/>
          <w:sz w:val="28"/>
          <w:szCs w:val="28"/>
        </w:rPr>
        <w:t xml:space="preserve"> </w:t>
      </w:r>
      <w:r w:rsidR="00764F19">
        <w:rPr>
          <w:rFonts w:ascii="Times New Roman" w:hAnsi="Times New Roman" w:cs="Times New Roman"/>
          <w:sz w:val="28"/>
          <w:szCs w:val="28"/>
        </w:rPr>
        <w:t>una diversa ristrutturazione, in parti distinte, aventi ciascuna una propria autonomia strutturale.</w:t>
      </w:r>
    </w:p>
    <w:p w:rsidR="00764F19" w:rsidRDefault="00764F19" w:rsidP="00EA0A28">
      <w:pPr>
        <w:jc w:val="both"/>
        <w:rPr>
          <w:rFonts w:ascii="Times New Roman" w:hAnsi="Times New Roman" w:cs="Times New Roman"/>
          <w:sz w:val="28"/>
          <w:szCs w:val="28"/>
        </w:rPr>
      </w:pPr>
      <w:r>
        <w:rPr>
          <w:rFonts w:ascii="Times New Roman" w:hAnsi="Times New Roman" w:cs="Times New Roman"/>
          <w:sz w:val="28"/>
          <w:szCs w:val="28"/>
        </w:rPr>
        <w:t>3)Il tenore delle citate norme, riferito all’espressione edifici autonomi, esclude di per sé che il risultato della separazione si concreti in una autonomia meramente amministrativa, giacché più che a un concetto di gestione, il termine edificio va riferito a una costruzione, la quale, per dare luogo alla costituzione di più condomìni, deve essere suscettibile di divisione in parti distinte aventi ciascuna una propria autonomia strutturale, indipendentemente dalle semplici esigenze di carattere amministrativo.</w:t>
      </w:r>
    </w:p>
    <w:p w:rsidR="00EA0A28" w:rsidRDefault="00764F19" w:rsidP="00EA0A28">
      <w:pPr>
        <w:jc w:val="both"/>
        <w:rPr>
          <w:rFonts w:ascii="Times New Roman" w:hAnsi="Times New Roman" w:cs="Times New Roman"/>
          <w:sz w:val="28"/>
          <w:szCs w:val="28"/>
        </w:rPr>
      </w:pPr>
      <w:r>
        <w:rPr>
          <w:rFonts w:ascii="Times New Roman" w:hAnsi="Times New Roman" w:cs="Times New Roman"/>
          <w:sz w:val="28"/>
          <w:szCs w:val="28"/>
        </w:rPr>
        <w:t>4)La sola estensione che può consentirsi a tale interpretazione è quella prevista</w:t>
      </w:r>
      <w:r w:rsidR="00500C48">
        <w:rPr>
          <w:rFonts w:ascii="Times New Roman" w:hAnsi="Times New Roman" w:cs="Times New Roman"/>
          <w:sz w:val="28"/>
          <w:szCs w:val="28"/>
        </w:rPr>
        <w:t xml:space="preserve"> dall’art. 62 citato, il quale fa riferimento all’art. 1117 c.c. (parti comuni dell’edificio, in quanto destinate in modo permanente al servizio generale e alla conservazione dell’immobile, riguardato sia nel suo complesso unitario che nella separazione di edifici autonomi.</w:t>
      </w:r>
      <w:r w:rsidR="00EA0A28">
        <w:rPr>
          <w:rFonts w:ascii="Times New Roman" w:hAnsi="Times New Roman" w:cs="Times New Roman"/>
          <w:sz w:val="28"/>
          <w:szCs w:val="28"/>
        </w:rPr>
        <w:t>).</w:t>
      </w:r>
    </w:p>
    <w:p w:rsidR="00EA0A28" w:rsidRDefault="00500C48" w:rsidP="00EA0A28">
      <w:pPr>
        <w:jc w:val="both"/>
        <w:rPr>
          <w:rFonts w:ascii="Times New Roman" w:hAnsi="Times New Roman" w:cs="Times New Roman"/>
          <w:sz w:val="28"/>
          <w:szCs w:val="28"/>
        </w:rPr>
      </w:pPr>
      <w:r>
        <w:rPr>
          <w:rFonts w:ascii="Times New Roman" w:hAnsi="Times New Roman" w:cs="Times New Roman"/>
          <w:sz w:val="28"/>
          <w:szCs w:val="28"/>
        </w:rPr>
        <w:t xml:space="preserve">In quest’ultimo caso, l’istituzione di nuovi condomìni non è impedita dalla permanenza in comune delle cose indicate dall’art. 1117 c.c., la cui disciplina d’uso potrà formare oggetto di particolare regolamentazione riferita alle spese e agli oneri relativi. </w:t>
      </w:r>
    </w:p>
    <w:p w:rsidR="00764F19" w:rsidRDefault="00EA0A28" w:rsidP="00EA0A28">
      <w:pPr>
        <w:jc w:val="both"/>
        <w:rPr>
          <w:rFonts w:ascii="Times New Roman" w:hAnsi="Times New Roman" w:cs="Times New Roman"/>
          <w:sz w:val="28"/>
          <w:szCs w:val="28"/>
        </w:rPr>
      </w:pPr>
      <w:r>
        <w:rPr>
          <w:rFonts w:ascii="Times New Roman" w:hAnsi="Times New Roman" w:cs="Times New Roman"/>
          <w:sz w:val="28"/>
          <w:szCs w:val="28"/>
        </w:rPr>
        <w:t>5)</w:t>
      </w:r>
      <w:r w:rsidR="00500C48">
        <w:rPr>
          <w:rFonts w:ascii="Times New Roman" w:hAnsi="Times New Roman" w:cs="Times New Roman"/>
          <w:sz w:val="28"/>
          <w:szCs w:val="28"/>
        </w:rPr>
        <w:t>Al di fuori di tali interferenze di carattere amministrativo espressamente previste dalla legge, se la separazione del complesso immobiliare non può attuarsi se non mediante interferenze ben più gravi, interessanti la sfera giuridica di altri condomini, alla cui proprietà verrebbero ad imporsi, limitazioni, servitù o altri oneri di carattere reale, è da escludersi, in tale ipotesi, che l’edificio scorporando possa avere una propria autonomia strutturale, pur essendo eventualmente autonoma la funzionalità di esso riferita alla sua destinazione e gestione amministrativa.</w:t>
      </w:r>
    </w:p>
    <w:p w:rsidR="00EA0A28" w:rsidRPr="00426D78" w:rsidRDefault="00EA0A28" w:rsidP="00EA0A28">
      <w:pPr>
        <w:jc w:val="both"/>
        <w:rPr>
          <w:rFonts w:ascii="Times New Roman" w:hAnsi="Times New Roman" w:cs="Times New Roman"/>
          <w:sz w:val="28"/>
          <w:szCs w:val="28"/>
        </w:rPr>
      </w:pPr>
      <w:r>
        <w:rPr>
          <w:rFonts w:ascii="Times New Roman" w:hAnsi="Times New Roman" w:cs="Times New Roman"/>
          <w:sz w:val="28"/>
          <w:szCs w:val="28"/>
        </w:rPr>
        <w:lastRenderedPageBreak/>
        <w:t>Nella fattispecie decisa dal Tribunale la CTU aveva concluso che “</w:t>
      </w:r>
      <w:r w:rsidRPr="00EA0A28">
        <w:rPr>
          <w:rFonts w:ascii="Times New Roman" w:hAnsi="Times New Roman" w:cs="Times New Roman"/>
          <w:i/>
          <w:sz w:val="28"/>
          <w:szCs w:val="28"/>
        </w:rPr>
        <w:t>il fabbricato non presenta caratteristiche costruttive e strutturali adatte a renderlo materialmente divisibile in porzioni consistenti del tutto autonome, singolarmente organiche e funzionali</w:t>
      </w:r>
      <w:r>
        <w:rPr>
          <w:rFonts w:ascii="Times New Roman" w:hAnsi="Times New Roman" w:cs="Times New Roman"/>
          <w:sz w:val="28"/>
          <w:szCs w:val="28"/>
        </w:rPr>
        <w:t>”.</w:t>
      </w:r>
    </w:p>
    <w:p w:rsidR="00426D78" w:rsidRDefault="00EA0A28" w:rsidP="00EA0A28">
      <w:pPr>
        <w:jc w:val="both"/>
        <w:rPr>
          <w:rFonts w:ascii="Times New Roman" w:hAnsi="Times New Roman" w:cs="Times New Roman"/>
          <w:sz w:val="28"/>
          <w:szCs w:val="28"/>
        </w:rPr>
      </w:pPr>
      <w:r>
        <w:rPr>
          <w:rFonts w:ascii="Times New Roman" w:hAnsi="Times New Roman" w:cs="Times New Roman"/>
          <w:sz w:val="28"/>
          <w:szCs w:val="28"/>
        </w:rPr>
        <w:t>Ne è conseguito il rigetto della domanda di scioglimento.</w:t>
      </w:r>
    </w:p>
    <w:p w:rsidR="00426D78" w:rsidRDefault="00426D78" w:rsidP="00EA0A28">
      <w:pPr>
        <w:jc w:val="both"/>
        <w:rPr>
          <w:rFonts w:ascii="Times New Roman" w:hAnsi="Times New Roman" w:cs="Times New Roman"/>
          <w:sz w:val="28"/>
          <w:szCs w:val="28"/>
        </w:rPr>
      </w:pPr>
    </w:p>
    <w:p w:rsidR="00BA6FBB" w:rsidRPr="00A9501A" w:rsidRDefault="00BA6FBB" w:rsidP="00EA0A28">
      <w:pPr>
        <w:pStyle w:val="NormaleWeb"/>
        <w:shd w:val="clear" w:color="auto" w:fill="FFFFFF"/>
        <w:spacing w:before="75" w:beforeAutospacing="0" w:after="180" w:afterAutospacing="0"/>
        <w:jc w:val="both"/>
        <w:rPr>
          <w:sz w:val="28"/>
          <w:szCs w:val="28"/>
        </w:rPr>
      </w:pPr>
    </w:p>
    <w:sectPr w:rsidR="00BA6FBB" w:rsidRPr="00A950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9B" w:rsidRDefault="00CA119B" w:rsidP="00FB745F">
      <w:pPr>
        <w:spacing w:after="0" w:line="240" w:lineRule="auto"/>
      </w:pPr>
      <w:r>
        <w:separator/>
      </w:r>
    </w:p>
  </w:endnote>
  <w:endnote w:type="continuationSeparator" w:id="0">
    <w:p w:rsidR="00CA119B" w:rsidRDefault="00CA119B" w:rsidP="00FB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9B" w:rsidRDefault="00CA119B" w:rsidP="00FB745F">
      <w:pPr>
        <w:spacing w:after="0" w:line="240" w:lineRule="auto"/>
      </w:pPr>
      <w:r>
        <w:separator/>
      </w:r>
    </w:p>
  </w:footnote>
  <w:footnote w:type="continuationSeparator" w:id="0">
    <w:p w:rsidR="00CA119B" w:rsidRDefault="00CA119B" w:rsidP="00FB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D2D"/>
    <w:multiLevelType w:val="hybridMultilevel"/>
    <w:tmpl w:val="FD343C8C"/>
    <w:lvl w:ilvl="0" w:tplc="8626078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1687C"/>
    <w:multiLevelType w:val="hybridMultilevel"/>
    <w:tmpl w:val="28B2BF96"/>
    <w:lvl w:ilvl="0" w:tplc="B9A81BE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ED359E"/>
    <w:multiLevelType w:val="hybridMultilevel"/>
    <w:tmpl w:val="D7BC03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DB1A4B"/>
    <w:multiLevelType w:val="hybridMultilevel"/>
    <w:tmpl w:val="643838AC"/>
    <w:lvl w:ilvl="0" w:tplc="57DC1816">
      <w:start w:val="2"/>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5551B"/>
    <w:rsid w:val="00091BAF"/>
    <w:rsid w:val="000A231D"/>
    <w:rsid w:val="000B4EB5"/>
    <w:rsid w:val="0010540E"/>
    <w:rsid w:val="0011588A"/>
    <w:rsid w:val="001167A4"/>
    <w:rsid w:val="00150E04"/>
    <w:rsid w:val="00153FC3"/>
    <w:rsid w:val="00154A8F"/>
    <w:rsid w:val="00167B1C"/>
    <w:rsid w:val="001722B8"/>
    <w:rsid w:val="0024154D"/>
    <w:rsid w:val="002540E8"/>
    <w:rsid w:val="002550F9"/>
    <w:rsid w:val="00297786"/>
    <w:rsid w:val="002A71D6"/>
    <w:rsid w:val="002C0053"/>
    <w:rsid w:val="003131FF"/>
    <w:rsid w:val="00391056"/>
    <w:rsid w:val="003F204C"/>
    <w:rsid w:val="00426D78"/>
    <w:rsid w:val="004316DF"/>
    <w:rsid w:val="004562C3"/>
    <w:rsid w:val="00470F3A"/>
    <w:rsid w:val="004914B0"/>
    <w:rsid w:val="00493FCF"/>
    <w:rsid w:val="004A7FD2"/>
    <w:rsid w:val="004B74B9"/>
    <w:rsid w:val="004D2742"/>
    <w:rsid w:val="00500C48"/>
    <w:rsid w:val="0050403F"/>
    <w:rsid w:val="00557BFD"/>
    <w:rsid w:val="00593B9C"/>
    <w:rsid w:val="005A369B"/>
    <w:rsid w:val="005F62BC"/>
    <w:rsid w:val="00610921"/>
    <w:rsid w:val="00626EC5"/>
    <w:rsid w:val="00633266"/>
    <w:rsid w:val="006A63C2"/>
    <w:rsid w:val="006C6505"/>
    <w:rsid w:val="006C6EC4"/>
    <w:rsid w:val="006F6B12"/>
    <w:rsid w:val="0070494E"/>
    <w:rsid w:val="00715042"/>
    <w:rsid w:val="00764F19"/>
    <w:rsid w:val="007941E3"/>
    <w:rsid w:val="007E1413"/>
    <w:rsid w:val="007F045E"/>
    <w:rsid w:val="008051DF"/>
    <w:rsid w:val="0080673C"/>
    <w:rsid w:val="008276FE"/>
    <w:rsid w:val="00833116"/>
    <w:rsid w:val="00833B2D"/>
    <w:rsid w:val="008900B8"/>
    <w:rsid w:val="008B4BDC"/>
    <w:rsid w:val="0095114A"/>
    <w:rsid w:val="00953618"/>
    <w:rsid w:val="009C5E22"/>
    <w:rsid w:val="009D38AA"/>
    <w:rsid w:val="009F31F8"/>
    <w:rsid w:val="00A06CE8"/>
    <w:rsid w:val="00A3592D"/>
    <w:rsid w:val="00A65570"/>
    <w:rsid w:val="00A8792C"/>
    <w:rsid w:val="00A9501A"/>
    <w:rsid w:val="00A97F9E"/>
    <w:rsid w:val="00AA6BD9"/>
    <w:rsid w:val="00B223BB"/>
    <w:rsid w:val="00B2271E"/>
    <w:rsid w:val="00B41C78"/>
    <w:rsid w:val="00B9130F"/>
    <w:rsid w:val="00BA6FBB"/>
    <w:rsid w:val="00BB346D"/>
    <w:rsid w:val="00BE3088"/>
    <w:rsid w:val="00BF7A8D"/>
    <w:rsid w:val="00C07DDA"/>
    <w:rsid w:val="00C22F14"/>
    <w:rsid w:val="00C45E34"/>
    <w:rsid w:val="00C50E15"/>
    <w:rsid w:val="00C5599A"/>
    <w:rsid w:val="00C85B73"/>
    <w:rsid w:val="00CA119B"/>
    <w:rsid w:val="00CD70E1"/>
    <w:rsid w:val="00D55D96"/>
    <w:rsid w:val="00D7296D"/>
    <w:rsid w:val="00DA32F7"/>
    <w:rsid w:val="00DA6DBA"/>
    <w:rsid w:val="00E00061"/>
    <w:rsid w:val="00E0663E"/>
    <w:rsid w:val="00E50AA6"/>
    <w:rsid w:val="00E92677"/>
    <w:rsid w:val="00EA0A28"/>
    <w:rsid w:val="00EB28F1"/>
    <w:rsid w:val="00EC56C7"/>
    <w:rsid w:val="00EC65CB"/>
    <w:rsid w:val="00ED037E"/>
    <w:rsid w:val="00F12922"/>
    <w:rsid w:val="00F757BC"/>
    <w:rsid w:val="00FB745F"/>
    <w:rsid w:val="00FC3BAD"/>
    <w:rsid w:val="00FC42C5"/>
    <w:rsid w:val="00FE1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9938"/>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F6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4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45F"/>
  </w:style>
  <w:style w:type="paragraph" w:styleId="Pidipagina">
    <w:name w:val="footer"/>
    <w:basedOn w:val="Normale"/>
    <w:link w:val="PidipaginaCarattere"/>
    <w:uiPriority w:val="99"/>
    <w:unhideWhenUsed/>
    <w:rsid w:val="00FB74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45F"/>
  </w:style>
  <w:style w:type="character" w:styleId="Collegamentoipertestuale">
    <w:name w:val="Hyperlink"/>
    <w:basedOn w:val="Carpredefinitoparagrafo"/>
    <w:uiPriority w:val="99"/>
    <w:semiHidden/>
    <w:unhideWhenUsed/>
    <w:rsid w:val="00FB745F"/>
    <w:rPr>
      <w:color w:val="0563C1" w:themeColor="hyperlink"/>
      <w:u w:val="single"/>
    </w:rPr>
  </w:style>
  <w:style w:type="character" w:customStyle="1" w:styleId="apple-converted-space">
    <w:name w:val="apple-converted-space"/>
    <w:basedOn w:val="Carpredefinitoparagrafo"/>
    <w:rsid w:val="00FB745F"/>
  </w:style>
  <w:style w:type="character" w:styleId="Enfasicorsivo">
    <w:name w:val="Emphasis"/>
    <w:basedOn w:val="Carpredefinitoparagrafo"/>
    <w:uiPriority w:val="20"/>
    <w:qFormat/>
    <w:rsid w:val="00A9501A"/>
    <w:rPr>
      <w:i/>
      <w:iCs/>
    </w:rPr>
  </w:style>
  <w:style w:type="character" w:styleId="Enfasigrassetto">
    <w:name w:val="Strong"/>
    <w:basedOn w:val="Carpredefinitoparagrafo"/>
    <w:uiPriority w:val="22"/>
    <w:qFormat/>
    <w:rsid w:val="00A9501A"/>
    <w:rPr>
      <w:b/>
      <w:bCs/>
    </w:rPr>
  </w:style>
  <w:style w:type="paragraph" w:styleId="Paragrafoelenco">
    <w:name w:val="List Paragraph"/>
    <w:basedOn w:val="Normale"/>
    <w:uiPriority w:val="34"/>
    <w:qFormat/>
    <w:rsid w:val="00F757BC"/>
    <w:pPr>
      <w:ind w:left="720"/>
      <w:contextualSpacing/>
    </w:pPr>
  </w:style>
  <w:style w:type="character" w:customStyle="1" w:styleId="Titolo1Carattere">
    <w:name w:val="Titolo 1 Carattere"/>
    <w:basedOn w:val="Carpredefinitoparagrafo"/>
    <w:link w:val="Titolo1"/>
    <w:uiPriority w:val="9"/>
    <w:rsid w:val="005F62BC"/>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5F62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3765">
      <w:bodyDiv w:val="1"/>
      <w:marLeft w:val="0"/>
      <w:marRight w:val="0"/>
      <w:marTop w:val="0"/>
      <w:marBottom w:val="0"/>
      <w:divBdr>
        <w:top w:val="none" w:sz="0" w:space="0" w:color="auto"/>
        <w:left w:val="none" w:sz="0" w:space="0" w:color="auto"/>
        <w:bottom w:val="none" w:sz="0" w:space="0" w:color="auto"/>
        <w:right w:val="none" w:sz="0" w:space="0" w:color="auto"/>
      </w:divBdr>
    </w:div>
    <w:div w:id="774205171">
      <w:bodyDiv w:val="1"/>
      <w:marLeft w:val="0"/>
      <w:marRight w:val="0"/>
      <w:marTop w:val="0"/>
      <w:marBottom w:val="0"/>
      <w:divBdr>
        <w:top w:val="none" w:sz="0" w:space="0" w:color="auto"/>
        <w:left w:val="none" w:sz="0" w:space="0" w:color="auto"/>
        <w:bottom w:val="none" w:sz="0" w:space="0" w:color="auto"/>
        <w:right w:val="none" w:sz="0" w:space="0" w:color="auto"/>
      </w:divBdr>
    </w:div>
    <w:div w:id="844132632">
      <w:bodyDiv w:val="1"/>
      <w:marLeft w:val="0"/>
      <w:marRight w:val="0"/>
      <w:marTop w:val="0"/>
      <w:marBottom w:val="0"/>
      <w:divBdr>
        <w:top w:val="none" w:sz="0" w:space="0" w:color="auto"/>
        <w:left w:val="none" w:sz="0" w:space="0" w:color="auto"/>
        <w:bottom w:val="none" w:sz="0" w:space="0" w:color="auto"/>
        <w:right w:val="none" w:sz="0" w:space="0" w:color="auto"/>
      </w:divBdr>
    </w:div>
    <w:div w:id="973028477">
      <w:bodyDiv w:val="1"/>
      <w:marLeft w:val="0"/>
      <w:marRight w:val="0"/>
      <w:marTop w:val="0"/>
      <w:marBottom w:val="0"/>
      <w:divBdr>
        <w:top w:val="none" w:sz="0" w:space="0" w:color="auto"/>
        <w:left w:val="none" w:sz="0" w:space="0" w:color="auto"/>
        <w:bottom w:val="none" w:sz="0" w:space="0" w:color="auto"/>
        <w:right w:val="none" w:sz="0" w:space="0" w:color="auto"/>
      </w:divBdr>
    </w:div>
    <w:div w:id="11687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475</Words>
  <Characters>2710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3</cp:revision>
  <dcterms:created xsi:type="dcterms:W3CDTF">2016-12-08T20:03:00Z</dcterms:created>
  <dcterms:modified xsi:type="dcterms:W3CDTF">2016-12-08T20:44:00Z</dcterms:modified>
</cp:coreProperties>
</file>