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F" w:rsidRDefault="00DC2A17" w:rsidP="00566C49">
      <w:pPr>
        <w:spacing w:line="40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TERMOREGOLAZIONE E CONTABILIZZAZIONE DEL CALORE.</w:t>
      </w:r>
      <w:r w:rsidR="001047AF">
        <w:rPr>
          <w:b/>
          <w:sz w:val="28"/>
          <w:szCs w:val="28"/>
        </w:rPr>
        <w:t xml:space="preserve"> </w:t>
      </w:r>
    </w:p>
    <w:p w:rsidR="008F4224" w:rsidRDefault="001047AF" w:rsidP="00566C49">
      <w:pPr>
        <w:spacing w:line="40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AVANTI</w:t>
      </w:r>
      <w:r w:rsidR="00AE7E9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MA CON GIUDIZIO.</w:t>
      </w:r>
    </w:p>
    <w:p w:rsidR="001F7D6F" w:rsidRPr="008F4224" w:rsidRDefault="001F7D6F" w:rsidP="00566C49">
      <w:pPr>
        <w:spacing w:line="408" w:lineRule="auto"/>
        <w:jc w:val="both"/>
        <w:rPr>
          <w:b/>
          <w:sz w:val="28"/>
          <w:szCs w:val="28"/>
        </w:rPr>
      </w:pPr>
    </w:p>
    <w:p w:rsidR="008F4224" w:rsidRDefault="008F4224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Decreto Legislativo</w:t>
      </w:r>
      <w:r w:rsidRPr="008F4224">
        <w:rPr>
          <w:sz w:val="28"/>
          <w:szCs w:val="28"/>
        </w:rPr>
        <w:t xml:space="preserve"> 4 luglio 2014, n. 102</w:t>
      </w:r>
      <w:r>
        <w:rPr>
          <w:sz w:val="28"/>
          <w:szCs w:val="28"/>
        </w:rPr>
        <w:t xml:space="preserve"> (denominato “</w:t>
      </w:r>
      <w:r w:rsidRPr="008F4224">
        <w:rPr>
          <w:sz w:val="28"/>
          <w:szCs w:val="28"/>
        </w:rPr>
        <w:t>Attuazione della </w:t>
      </w:r>
      <w:hyperlink r:id="rId5" w:history="1">
        <w:r w:rsidRPr="008F4224">
          <w:rPr>
            <w:sz w:val="28"/>
            <w:szCs w:val="28"/>
          </w:rPr>
          <w:t>direttiva 2012/27/UE</w:t>
        </w:r>
      </w:hyperlink>
      <w:r w:rsidRPr="008F4224">
        <w:rPr>
          <w:sz w:val="28"/>
          <w:szCs w:val="28"/>
        </w:rPr>
        <w:t> sull'efficienza energetica</w:t>
      </w:r>
      <w:r>
        <w:rPr>
          <w:sz w:val="28"/>
          <w:szCs w:val="28"/>
        </w:rPr>
        <w:t>”</w:t>
      </w:r>
      <w:r w:rsidR="008552BF">
        <w:rPr>
          <w:sz w:val="28"/>
          <w:szCs w:val="28"/>
        </w:rPr>
        <w:t>) ha stabilito</w:t>
      </w:r>
      <w:r w:rsidR="00076E71">
        <w:rPr>
          <w:sz w:val="28"/>
          <w:szCs w:val="28"/>
        </w:rPr>
        <w:t>, tra le altre cose,</w:t>
      </w:r>
      <w:r w:rsidR="008552BF">
        <w:rPr>
          <w:sz w:val="28"/>
          <w:szCs w:val="28"/>
        </w:rPr>
        <w:t xml:space="preserve"> </w:t>
      </w:r>
      <w:r w:rsidR="008552BF" w:rsidRPr="002F728C">
        <w:rPr>
          <w:b/>
          <w:sz w:val="28"/>
          <w:szCs w:val="28"/>
        </w:rPr>
        <w:t>che entro il 31/12/2016</w:t>
      </w:r>
      <w:r w:rsidR="00990CFC">
        <w:rPr>
          <w:sz w:val="28"/>
          <w:szCs w:val="28"/>
        </w:rPr>
        <w:t xml:space="preserve"> </w:t>
      </w:r>
      <w:r w:rsidR="00AE7E97">
        <w:rPr>
          <w:sz w:val="28"/>
          <w:szCs w:val="28"/>
        </w:rPr>
        <w:t>gli edifici in condominio</w:t>
      </w:r>
      <w:r w:rsidR="002F728C">
        <w:rPr>
          <w:sz w:val="28"/>
          <w:szCs w:val="28"/>
        </w:rPr>
        <w:t xml:space="preserve"> </w:t>
      </w:r>
      <w:r w:rsidR="000A1B18">
        <w:rPr>
          <w:sz w:val="28"/>
          <w:szCs w:val="28"/>
        </w:rPr>
        <w:t>con impianto di riscaldamento centralizzato</w:t>
      </w:r>
      <w:r w:rsidR="001047AF">
        <w:rPr>
          <w:sz w:val="28"/>
          <w:szCs w:val="28"/>
        </w:rPr>
        <w:t>, e quindi i relativi condomini,</w:t>
      </w:r>
      <w:r w:rsidR="000A1B18">
        <w:rPr>
          <w:sz w:val="28"/>
          <w:szCs w:val="28"/>
        </w:rPr>
        <w:t xml:space="preserve"> </w:t>
      </w:r>
      <w:r w:rsidR="002F728C">
        <w:rPr>
          <w:sz w:val="28"/>
          <w:szCs w:val="28"/>
        </w:rPr>
        <w:t xml:space="preserve">hanno l’obbligo </w:t>
      </w:r>
      <w:r w:rsidR="00AE7E97">
        <w:rPr>
          <w:sz w:val="28"/>
          <w:szCs w:val="28"/>
        </w:rPr>
        <w:t>di dotarsi dei</w:t>
      </w:r>
      <w:r w:rsidR="002F728C">
        <w:rPr>
          <w:sz w:val="28"/>
          <w:szCs w:val="28"/>
        </w:rPr>
        <w:t xml:space="preserve"> </w:t>
      </w:r>
      <w:proofErr w:type="spellStart"/>
      <w:r w:rsidR="002F728C">
        <w:rPr>
          <w:sz w:val="28"/>
          <w:szCs w:val="28"/>
        </w:rPr>
        <w:t>contabilizzatori</w:t>
      </w:r>
      <w:proofErr w:type="spellEnd"/>
      <w:r w:rsidR="002F728C">
        <w:rPr>
          <w:sz w:val="28"/>
          <w:szCs w:val="28"/>
        </w:rPr>
        <w:t xml:space="preserve"> di calore.</w:t>
      </w:r>
      <w:r w:rsidR="008552BF">
        <w:rPr>
          <w:sz w:val="28"/>
          <w:szCs w:val="28"/>
        </w:rPr>
        <w:t xml:space="preserve"> </w:t>
      </w:r>
    </w:p>
    <w:p w:rsidR="008552BF" w:rsidRDefault="00076E71" w:rsidP="008F4224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L’art. 9 comma 5 </w:t>
      </w:r>
      <w:r w:rsidR="00AE7E97">
        <w:rPr>
          <w:sz w:val="28"/>
          <w:szCs w:val="28"/>
        </w:rPr>
        <w:t xml:space="preserve">prevede </w:t>
      </w:r>
      <w:r w:rsidR="008552BF">
        <w:rPr>
          <w:sz w:val="28"/>
          <w:szCs w:val="28"/>
        </w:rPr>
        <w:t>che:</w:t>
      </w:r>
    </w:p>
    <w:p w:rsidR="008F4224" w:rsidRPr="00CA4674" w:rsidRDefault="008F4224" w:rsidP="008F4224">
      <w:pPr>
        <w:spacing w:line="408" w:lineRule="auto"/>
        <w:jc w:val="both"/>
        <w:rPr>
          <w:i/>
          <w:sz w:val="28"/>
          <w:szCs w:val="28"/>
        </w:rPr>
      </w:pPr>
      <w:r w:rsidRPr="008F4224">
        <w:rPr>
          <w:sz w:val="28"/>
          <w:szCs w:val="28"/>
        </w:rPr>
        <w:t xml:space="preserve"> </w:t>
      </w:r>
      <w:r w:rsidR="008552BF">
        <w:rPr>
          <w:sz w:val="28"/>
          <w:szCs w:val="28"/>
        </w:rPr>
        <w:t>“</w:t>
      </w:r>
      <w:r w:rsidRPr="00CA4674">
        <w:rPr>
          <w:i/>
          <w:sz w:val="28"/>
          <w:szCs w:val="28"/>
        </w:rPr>
        <w:t xml:space="preserve">Per favorire il contenimento dei consumi energetici attraverso la </w:t>
      </w:r>
      <w:r w:rsidRPr="000C390B">
        <w:rPr>
          <w:b/>
          <w:i/>
          <w:sz w:val="28"/>
          <w:szCs w:val="28"/>
        </w:rPr>
        <w:t>contabilizzazione dei consumi individuali</w:t>
      </w:r>
      <w:r w:rsidRPr="00CA4674">
        <w:rPr>
          <w:i/>
          <w:sz w:val="28"/>
          <w:szCs w:val="28"/>
        </w:rPr>
        <w:t xml:space="preserve"> e </w:t>
      </w:r>
      <w:r w:rsidRPr="00D10B69">
        <w:rPr>
          <w:i/>
          <w:sz w:val="28"/>
          <w:szCs w:val="28"/>
        </w:rPr>
        <w:t>la</w:t>
      </w:r>
      <w:r w:rsidRPr="000C390B">
        <w:rPr>
          <w:b/>
          <w:i/>
          <w:sz w:val="28"/>
          <w:szCs w:val="28"/>
        </w:rPr>
        <w:t xml:space="preserve"> suddivisione delle spese in base ai consumi effettivi di ciascun centro di consumo individuale</w:t>
      </w:r>
      <w:r w:rsidRPr="00CA4674">
        <w:rPr>
          <w:i/>
          <w:sz w:val="28"/>
          <w:szCs w:val="28"/>
        </w:rPr>
        <w:t>:</w:t>
      </w:r>
    </w:p>
    <w:p w:rsidR="008F4224" w:rsidRPr="00CA4674" w:rsidRDefault="00775920" w:rsidP="008F4224">
      <w:pPr>
        <w:spacing w:line="408" w:lineRule="auto"/>
        <w:jc w:val="both"/>
        <w:rPr>
          <w:i/>
          <w:sz w:val="28"/>
          <w:szCs w:val="28"/>
        </w:rPr>
      </w:pPr>
      <w:r w:rsidRPr="00CA4674">
        <w:rPr>
          <w:i/>
          <w:sz w:val="28"/>
          <w:szCs w:val="28"/>
        </w:rPr>
        <w:t>a) </w:t>
      </w:r>
      <w:r w:rsidR="000A1B18" w:rsidRPr="006028F6">
        <w:rPr>
          <w:sz w:val="28"/>
          <w:szCs w:val="28"/>
        </w:rPr>
        <w:t xml:space="preserve">… </w:t>
      </w:r>
      <w:r w:rsidR="000A1B18">
        <w:rPr>
          <w:sz w:val="28"/>
          <w:szCs w:val="28"/>
        </w:rPr>
        <w:t xml:space="preserve">- </w:t>
      </w:r>
      <w:r w:rsidR="000A1B18" w:rsidRPr="006028F6">
        <w:rPr>
          <w:sz w:val="28"/>
          <w:szCs w:val="28"/>
        </w:rPr>
        <w:t>omissis</w:t>
      </w:r>
      <w:r w:rsidR="000A1B18">
        <w:rPr>
          <w:sz w:val="28"/>
          <w:szCs w:val="28"/>
        </w:rPr>
        <w:t xml:space="preserve"> – …</w:t>
      </w:r>
    </w:p>
    <w:p w:rsidR="009C326A" w:rsidRDefault="00775920" w:rsidP="008F4224">
      <w:pPr>
        <w:spacing w:line="408" w:lineRule="auto"/>
        <w:jc w:val="both"/>
        <w:rPr>
          <w:sz w:val="28"/>
          <w:szCs w:val="28"/>
        </w:rPr>
      </w:pPr>
      <w:r w:rsidRPr="00CA4674">
        <w:rPr>
          <w:i/>
          <w:sz w:val="28"/>
          <w:szCs w:val="28"/>
        </w:rPr>
        <w:t>b) </w:t>
      </w:r>
      <w:r w:rsidR="008F4224" w:rsidRPr="000C390B">
        <w:rPr>
          <w:b/>
          <w:i/>
          <w:sz w:val="28"/>
          <w:szCs w:val="28"/>
        </w:rPr>
        <w:t>nei condomini</w:t>
      </w:r>
      <w:r w:rsidR="008F4224" w:rsidRPr="00CA4674">
        <w:rPr>
          <w:i/>
          <w:sz w:val="28"/>
          <w:szCs w:val="28"/>
        </w:rPr>
        <w:t xml:space="preserve"> e negli edifici polifunzionali </w:t>
      </w:r>
      <w:r w:rsidR="008F4224" w:rsidRPr="00420456">
        <w:rPr>
          <w:b/>
          <w:i/>
          <w:sz w:val="28"/>
          <w:szCs w:val="28"/>
        </w:rPr>
        <w:t xml:space="preserve">riforniti da una fonte di riscaldamento </w:t>
      </w:r>
      <w:r w:rsidR="008F4224" w:rsidRPr="00CA4674">
        <w:rPr>
          <w:i/>
          <w:sz w:val="28"/>
          <w:szCs w:val="28"/>
        </w:rPr>
        <w:t xml:space="preserve">o raffreddamento </w:t>
      </w:r>
      <w:r w:rsidR="008F4224" w:rsidRPr="00420456">
        <w:rPr>
          <w:b/>
          <w:i/>
          <w:sz w:val="28"/>
          <w:szCs w:val="28"/>
        </w:rPr>
        <w:t>centralizzata</w:t>
      </w:r>
      <w:r w:rsidR="008F4224" w:rsidRPr="00CA4674">
        <w:rPr>
          <w:i/>
          <w:sz w:val="28"/>
          <w:szCs w:val="28"/>
        </w:rPr>
        <w:t xml:space="preserve"> o da una rete di teleriscaldamento </w:t>
      </w:r>
      <w:r w:rsidR="008F4224" w:rsidRPr="0014094E">
        <w:rPr>
          <w:b/>
          <w:i/>
          <w:sz w:val="28"/>
          <w:szCs w:val="28"/>
        </w:rPr>
        <w:t>o da un</w:t>
      </w:r>
      <w:r w:rsidR="008F4224" w:rsidRPr="00CA4674">
        <w:rPr>
          <w:i/>
          <w:sz w:val="28"/>
          <w:szCs w:val="28"/>
        </w:rPr>
        <w:t xml:space="preserve"> </w:t>
      </w:r>
      <w:r w:rsidR="008F4224" w:rsidRPr="0014094E">
        <w:rPr>
          <w:b/>
          <w:i/>
          <w:sz w:val="28"/>
          <w:szCs w:val="28"/>
        </w:rPr>
        <w:t>sistema di fornitura centralizzato che alimenta una pluralità di edifici</w:t>
      </w:r>
      <w:r w:rsidR="008F4224" w:rsidRPr="006028F6">
        <w:rPr>
          <w:i/>
          <w:sz w:val="28"/>
          <w:szCs w:val="28"/>
        </w:rPr>
        <w:t>,</w:t>
      </w:r>
      <w:r w:rsidR="008F4224" w:rsidRPr="006028F6">
        <w:rPr>
          <w:b/>
          <w:i/>
          <w:sz w:val="28"/>
          <w:szCs w:val="28"/>
        </w:rPr>
        <w:t xml:space="preserve"> è obbligatoria l'installazione entro il 31 dicembre 2016</w:t>
      </w:r>
      <w:r w:rsidR="008F4224" w:rsidRPr="00CA4674">
        <w:rPr>
          <w:i/>
          <w:sz w:val="28"/>
          <w:szCs w:val="28"/>
        </w:rPr>
        <w:t xml:space="preserve"> da parte delle imprese di fornitura </w:t>
      </w:r>
      <w:r w:rsidR="008F4224" w:rsidRPr="009703FF">
        <w:rPr>
          <w:i/>
          <w:sz w:val="28"/>
          <w:szCs w:val="28"/>
        </w:rPr>
        <w:t>del</w:t>
      </w:r>
      <w:r w:rsidR="008F4224" w:rsidRPr="009C326A">
        <w:rPr>
          <w:i/>
          <w:sz w:val="28"/>
          <w:szCs w:val="28"/>
        </w:rPr>
        <w:t xml:space="preserve"> servizio</w:t>
      </w:r>
      <w:r w:rsidR="008F4224" w:rsidRPr="0014094E">
        <w:rPr>
          <w:b/>
          <w:i/>
          <w:sz w:val="28"/>
          <w:szCs w:val="28"/>
        </w:rPr>
        <w:t xml:space="preserve"> di contatori individuali per misurare l'effettivo consumo di calore</w:t>
      </w:r>
      <w:r w:rsidR="008F4224" w:rsidRPr="00CA4674">
        <w:rPr>
          <w:i/>
          <w:sz w:val="28"/>
          <w:szCs w:val="28"/>
        </w:rPr>
        <w:t xml:space="preserve"> o di raffreddamento </w:t>
      </w:r>
      <w:r w:rsidR="008F4224" w:rsidRPr="0014094E">
        <w:rPr>
          <w:b/>
          <w:i/>
          <w:sz w:val="28"/>
          <w:szCs w:val="28"/>
        </w:rPr>
        <w:t>o di acqua calda per ciascuna unità immobiliare</w:t>
      </w:r>
      <w:r w:rsidR="009C326A" w:rsidRPr="006028F6">
        <w:rPr>
          <w:sz w:val="28"/>
          <w:szCs w:val="28"/>
        </w:rPr>
        <w:t xml:space="preserve">… </w:t>
      </w:r>
      <w:r w:rsidR="009C326A">
        <w:rPr>
          <w:sz w:val="28"/>
          <w:szCs w:val="28"/>
        </w:rPr>
        <w:t xml:space="preserve">- </w:t>
      </w:r>
      <w:r w:rsidR="009C326A" w:rsidRPr="006028F6">
        <w:rPr>
          <w:sz w:val="28"/>
          <w:szCs w:val="28"/>
        </w:rPr>
        <w:t>omissis</w:t>
      </w:r>
      <w:r w:rsidR="009C326A">
        <w:rPr>
          <w:sz w:val="28"/>
          <w:szCs w:val="28"/>
        </w:rPr>
        <w:t xml:space="preserve"> – …</w:t>
      </w:r>
    </w:p>
    <w:p w:rsidR="006028F6" w:rsidRPr="00223FAC" w:rsidRDefault="00775920" w:rsidP="008F4224">
      <w:pPr>
        <w:spacing w:line="408" w:lineRule="auto"/>
        <w:jc w:val="both"/>
        <w:rPr>
          <w:b/>
          <w:i/>
          <w:sz w:val="28"/>
          <w:szCs w:val="28"/>
        </w:rPr>
      </w:pPr>
      <w:r w:rsidRPr="00CA4674">
        <w:rPr>
          <w:i/>
          <w:sz w:val="28"/>
          <w:szCs w:val="28"/>
        </w:rPr>
        <w:t>c</w:t>
      </w:r>
      <w:r w:rsidRPr="00876F94">
        <w:rPr>
          <w:b/>
          <w:i/>
          <w:sz w:val="28"/>
          <w:szCs w:val="28"/>
        </w:rPr>
        <w:t>) </w:t>
      </w:r>
      <w:r w:rsidR="008F4224" w:rsidRPr="00876F94">
        <w:rPr>
          <w:b/>
          <w:i/>
          <w:sz w:val="28"/>
          <w:szCs w:val="28"/>
        </w:rPr>
        <w:t>nei casi in cui l'uso di contatori individuali non sia tecnicamente possibile</w:t>
      </w:r>
      <w:r w:rsidR="00EA4BC3">
        <w:rPr>
          <w:i/>
          <w:sz w:val="28"/>
          <w:szCs w:val="28"/>
        </w:rPr>
        <w:t xml:space="preserve"> </w:t>
      </w:r>
      <w:r w:rsidR="00990CFC">
        <w:rPr>
          <w:i/>
          <w:sz w:val="28"/>
          <w:szCs w:val="28"/>
        </w:rPr>
        <w:t xml:space="preserve">– </w:t>
      </w:r>
      <w:r w:rsidR="00990CFC" w:rsidRPr="00B47010">
        <w:rPr>
          <w:sz w:val="28"/>
          <w:szCs w:val="28"/>
        </w:rPr>
        <w:t xml:space="preserve">N.D.R.: il che avviene quasi sempre negli edifici </w:t>
      </w:r>
      <w:r w:rsidR="00B47010" w:rsidRPr="00B47010">
        <w:rPr>
          <w:sz w:val="28"/>
          <w:szCs w:val="28"/>
        </w:rPr>
        <w:t xml:space="preserve">dotati di impianti </w:t>
      </w:r>
      <w:r w:rsidR="00B47010">
        <w:rPr>
          <w:sz w:val="28"/>
          <w:szCs w:val="28"/>
        </w:rPr>
        <w:t xml:space="preserve">di riscaldamento </w:t>
      </w:r>
      <w:r w:rsidR="00B47010" w:rsidRPr="00B47010">
        <w:rPr>
          <w:sz w:val="28"/>
          <w:szCs w:val="28"/>
        </w:rPr>
        <w:t>a colonne montanti</w:t>
      </w:r>
      <w:r w:rsidR="00B47010">
        <w:rPr>
          <w:i/>
          <w:sz w:val="28"/>
          <w:szCs w:val="28"/>
        </w:rPr>
        <w:t xml:space="preserve"> </w:t>
      </w:r>
      <w:r w:rsidR="00990CFC">
        <w:rPr>
          <w:i/>
          <w:sz w:val="28"/>
          <w:szCs w:val="28"/>
        </w:rPr>
        <w:t xml:space="preserve">- </w:t>
      </w:r>
      <w:r w:rsidR="008F4224" w:rsidRPr="001047AF">
        <w:rPr>
          <w:b/>
          <w:i/>
          <w:sz w:val="28"/>
          <w:szCs w:val="28"/>
        </w:rPr>
        <w:t>o non sia</w:t>
      </w:r>
      <w:r w:rsidR="00EA4BC3" w:rsidRPr="001047AF">
        <w:rPr>
          <w:b/>
          <w:i/>
          <w:sz w:val="28"/>
          <w:szCs w:val="28"/>
        </w:rPr>
        <w:t xml:space="preserve"> efficiente in termini di costi</w:t>
      </w:r>
      <w:r w:rsidR="00223FAC">
        <w:rPr>
          <w:b/>
          <w:i/>
          <w:sz w:val="28"/>
          <w:szCs w:val="28"/>
        </w:rPr>
        <w:t>,</w:t>
      </w:r>
      <w:r w:rsidR="008F4224" w:rsidRPr="00CA4674">
        <w:rPr>
          <w:i/>
          <w:sz w:val="28"/>
          <w:szCs w:val="28"/>
        </w:rPr>
        <w:t xml:space="preserve"> </w:t>
      </w:r>
      <w:r w:rsidR="008F4224" w:rsidRPr="009703FF">
        <w:rPr>
          <w:b/>
          <w:i/>
          <w:sz w:val="28"/>
          <w:szCs w:val="28"/>
        </w:rPr>
        <w:t>per la misura del riscaldamento si ricorre</w:t>
      </w:r>
      <w:r w:rsidR="008F4224" w:rsidRPr="00CA4674">
        <w:rPr>
          <w:i/>
          <w:sz w:val="28"/>
          <w:szCs w:val="28"/>
        </w:rPr>
        <w:t xml:space="preserve"> </w:t>
      </w:r>
      <w:r w:rsidR="008F4224" w:rsidRPr="00876F94">
        <w:rPr>
          <w:b/>
          <w:i/>
          <w:sz w:val="28"/>
          <w:szCs w:val="28"/>
        </w:rPr>
        <w:t xml:space="preserve">all'installazione di sistemi di termoregolazione e contabilizzazione del calore individuali </w:t>
      </w:r>
      <w:r w:rsidR="008F4224" w:rsidRPr="00876F94">
        <w:rPr>
          <w:b/>
          <w:i/>
          <w:sz w:val="28"/>
          <w:szCs w:val="28"/>
        </w:rPr>
        <w:lastRenderedPageBreak/>
        <w:t xml:space="preserve">per misurare il consumo di calore in corrispondenza a ciascun radiatore posto all'interno delle unità immobiliari dei condomini </w:t>
      </w:r>
      <w:r w:rsidR="008F4224" w:rsidRPr="00CA4674">
        <w:rPr>
          <w:i/>
          <w:sz w:val="28"/>
          <w:szCs w:val="28"/>
        </w:rPr>
        <w:t>o degli edifici polifunzionali, secondo quanto previsto dalle norme tecniche vigenti</w:t>
      </w:r>
      <w:r w:rsidR="000A47A6" w:rsidRPr="006028F6">
        <w:rPr>
          <w:sz w:val="28"/>
          <w:szCs w:val="28"/>
        </w:rPr>
        <w:t>… omissis</w:t>
      </w:r>
      <w:r w:rsidR="000A47A6">
        <w:rPr>
          <w:sz w:val="28"/>
          <w:szCs w:val="28"/>
        </w:rPr>
        <w:t>…</w:t>
      </w:r>
      <w:r w:rsidR="006028F6" w:rsidRPr="006028F6">
        <w:rPr>
          <w:sz w:val="28"/>
          <w:szCs w:val="28"/>
        </w:rPr>
        <w:t xml:space="preserve"> </w:t>
      </w:r>
      <w:r w:rsidR="00223FAC" w:rsidRPr="00223FAC">
        <w:rPr>
          <w:b/>
          <w:i/>
          <w:sz w:val="28"/>
          <w:szCs w:val="28"/>
        </w:rPr>
        <w:t>salvo che l'installazione di tali sistemi risulti essere non efficiente in termini di costi</w:t>
      </w:r>
      <w:r w:rsidR="00223FAC" w:rsidRPr="00223FAC">
        <w:rPr>
          <w:i/>
          <w:sz w:val="28"/>
          <w:szCs w:val="28"/>
        </w:rPr>
        <w:t xml:space="preserve"> con riferimento alla metodologia indicata nella norma UNI EN 15459. </w:t>
      </w:r>
      <w:r w:rsidR="00223FAC" w:rsidRPr="00223FAC">
        <w:rPr>
          <w:b/>
          <w:i/>
          <w:sz w:val="28"/>
          <w:szCs w:val="28"/>
        </w:rPr>
        <w:t>In tali casi sono presi in considerazione metodi alternativi efficienti in termini di costi per la misurazione del consumo di calore.</w:t>
      </w:r>
    </w:p>
    <w:p w:rsidR="008F4224" w:rsidRDefault="00775920" w:rsidP="008F4224">
      <w:pPr>
        <w:spacing w:line="408" w:lineRule="auto"/>
        <w:jc w:val="both"/>
        <w:rPr>
          <w:sz w:val="28"/>
          <w:szCs w:val="28"/>
        </w:rPr>
      </w:pPr>
      <w:r w:rsidRPr="00CA4674">
        <w:rPr>
          <w:i/>
          <w:sz w:val="28"/>
          <w:szCs w:val="28"/>
        </w:rPr>
        <w:t>d) </w:t>
      </w:r>
      <w:r w:rsidR="008F4224" w:rsidRPr="00CA4674">
        <w:rPr>
          <w:i/>
          <w:sz w:val="28"/>
          <w:szCs w:val="28"/>
        </w:rPr>
        <w:t xml:space="preserve">quando i condomini sono alimentati dal teleriscaldamento o </w:t>
      </w:r>
      <w:proofErr w:type="spellStart"/>
      <w:r w:rsidR="008F4224" w:rsidRPr="00CA4674">
        <w:rPr>
          <w:i/>
          <w:sz w:val="28"/>
          <w:szCs w:val="28"/>
        </w:rPr>
        <w:t>teleraffreddamento</w:t>
      </w:r>
      <w:proofErr w:type="spellEnd"/>
      <w:r w:rsidR="008F4224" w:rsidRPr="00CA4674">
        <w:rPr>
          <w:i/>
          <w:sz w:val="28"/>
          <w:szCs w:val="28"/>
        </w:rPr>
        <w:t xml:space="preserve"> o da sistemi comuni di riscaldamento o raffreddamento, </w:t>
      </w:r>
      <w:r w:rsidR="008F4224" w:rsidRPr="00876F94">
        <w:rPr>
          <w:b/>
          <w:i/>
          <w:sz w:val="28"/>
          <w:szCs w:val="28"/>
        </w:rPr>
        <w:t xml:space="preserve">per la corretta suddivisione delle spese connesse al consumo di calore per il riscaldamento degli appartamenti </w:t>
      </w:r>
      <w:r w:rsidR="008F4224" w:rsidRPr="00CA4674">
        <w:rPr>
          <w:i/>
          <w:sz w:val="28"/>
          <w:szCs w:val="28"/>
        </w:rPr>
        <w:t xml:space="preserve">e delle aree comuni, qualora le scale e i corridoi siano dotati di radiatori, </w:t>
      </w:r>
      <w:r w:rsidR="008F4224" w:rsidRPr="00876F94">
        <w:rPr>
          <w:b/>
          <w:i/>
          <w:sz w:val="28"/>
          <w:szCs w:val="28"/>
        </w:rPr>
        <w:t>e all'uso di acqua calda per il fabbisogno domestico, se prodotta in modo centralizzato</w:t>
      </w:r>
      <w:r w:rsidR="008F4224" w:rsidRPr="00D10B69">
        <w:rPr>
          <w:b/>
          <w:i/>
          <w:sz w:val="28"/>
          <w:szCs w:val="28"/>
        </w:rPr>
        <w:t>,</w:t>
      </w:r>
      <w:r w:rsidR="008F4224" w:rsidRPr="00CA4674">
        <w:rPr>
          <w:i/>
          <w:sz w:val="28"/>
          <w:szCs w:val="28"/>
        </w:rPr>
        <w:t xml:space="preserve"> </w:t>
      </w:r>
      <w:r w:rsidR="008F4224" w:rsidRPr="00D10B69">
        <w:rPr>
          <w:b/>
          <w:i/>
          <w:sz w:val="28"/>
          <w:szCs w:val="28"/>
        </w:rPr>
        <w:t>l'importo complessivo deve essere suddiviso in relazione</w:t>
      </w:r>
      <w:r w:rsidR="008F4224" w:rsidRPr="00CA4674">
        <w:rPr>
          <w:i/>
          <w:sz w:val="28"/>
          <w:szCs w:val="28"/>
        </w:rPr>
        <w:t xml:space="preserve"> </w:t>
      </w:r>
      <w:r w:rsidR="008F4224" w:rsidRPr="00876F94">
        <w:rPr>
          <w:b/>
          <w:i/>
          <w:sz w:val="28"/>
          <w:szCs w:val="28"/>
        </w:rPr>
        <w:t>agli effettivi prelievi volontari di energia termica utile e ai costi generali per la manutenzione dell'impianto</w:t>
      </w:r>
      <w:r w:rsidR="008F4224" w:rsidRPr="00CA4674">
        <w:rPr>
          <w:i/>
          <w:sz w:val="28"/>
          <w:szCs w:val="28"/>
        </w:rPr>
        <w:t>, secondo quanto previsto dalla norma tecnica UNI 1020</w:t>
      </w:r>
      <w:r w:rsidR="00876F94">
        <w:rPr>
          <w:i/>
          <w:sz w:val="28"/>
          <w:szCs w:val="28"/>
        </w:rPr>
        <w:t xml:space="preserve">0 e successivi aggiornamenti. </w:t>
      </w:r>
      <w:proofErr w:type="gramStart"/>
      <w:r w:rsidR="00876F94">
        <w:rPr>
          <w:i/>
          <w:sz w:val="28"/>
          <w:szCs w:val="28"/>
        </w:rPr>
        <w:t>E’</w:t>
      </w:r>
      <w:proofErr w:type="gramEnd"/>
      <w:r w:rsidR="009703FF">
        <w:rPr>
          <w:i/>
          <w:sz w:val="28"/>
          <w:szCs w:val="28"/>
        </w:rPr>
        <w:t xml:space="preserve"> </w:t>
      </w:r>
      <w:r w:rsidR="008F4224" w:rsidRPr="00CA4674">
        <w:rPr>
          <w:i/>
          <w:sz w:val="28"/>
          <w:szCs w:val="28"/>
        </w:rPr>
        <w:t>fatta salva la possibilità, per la prima stagione termica successiva all'installazione dei dispositivi di cui al presente comma, che la suddivisione si determini in base ai soli millesimi di proprietà.</w:t>
      </w:r>
      <w:r w:rsidR="00CA4674">
        <w:rPr>
          <w:sz w:val="28"/>
          <w:szCs w:val="28"/>
        </w:rPr>
        <w:t>”.</w:t>
      </w:r>
    </w:p>
    <w:p w:rsidR="00AE7E97" w:rsidRPr="00CA4674" w:rsidRDefault="00AE7E97" w:rsidP="00AE7E97">
      <w:pPr>
        <w:spacing w:line="4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DC2A17" w:rsidRDefault="002F728C" w:rsidP="008F4224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può leggersi, a</w:t>
      </w:r>
      <w:r w:rsidR="00DC2A17" w:rsidRPr="008F4224">
        <w:rPr>
          <w:sz w:val="28"/>
          <w:szCs w:val="28"/>
        </w:rPr>
        <w:t> partire dal 31 dicembre 2016</w:t>
      </w:r>
      <w:r w:rsidR="000A1B18">
        <w:rPr>
          <w:sz w:val="28"/>
          <w:szCs w:val="28"/>
        </w:rPr>
        <w:t>, nei condominii serviti da un impianto</w:t>
      </w:r>
      <w:r w:rsidR="00C9179C">
        <w:rPr>
          <w:sz w:val="28"/>
          <w:szCs w:val="28"/>
        </w:rPr>
        <w:t xml:space="preserve"> di riscaldamento centralizzato</w:t>
      </w:r>
      <w:r w:rsidR="00D10B69">
        <w:rPr>
          <w:sz w:val="28"/>
          <w:szCs w:val="28"/>
        </w:rPr>
        <w:t xml:space="preserve"> </w:t>
      </w:r>
      <w:r w:rsidR="000A47A6">
        <w:rPr>
          <w:sz w:val="28"/>
          <w:szCs w:val="28"/>
        </w:rPr>
        <w:t>c</w:t>
      </w:r>
      <w:r w:rsidR="000A1B18">
        <w:rPr>
          <w:sz w:val="28"/>
          <w:szCs w:val="28"/>
        </w:rPr>
        <w:t>’è l’obbligo della</w:t>
      </w:r>
      <w:r w:rsidR="00DC2A17" w:rsidRPr="008F4224">
        <w:rPr>
          <w:sz w:val="28"/>
          <w:szCs w:val="28"/>
        </w:rPr>
        <w:t xml:space="preserve"> contabil</w:t>
      </w:r>
      <w:r w:rsidR="000A1B18">
        <w:rPr>
          <w:sz w:val="28"/>
          <w:szCs w:val="28"/>
        </w:rPr>
        <w:t xml:space="preserve">izzazione del calore </w:t>
      </w:r>
      <w:r w:rsidR="00DC2A17" w:rsidRPr="008F4224">
        <w:rPr>
          <w:sz w:val="28"/>
          <w:szCs w:val="28"/>
        </w:rPr>
        <w:t>per i singoli appartamenti, che dovran</w:t>
      </w:r>
      <w:r w:rsidR="000A1B18">
        <w:rPr>
          <w:sz w:val="28"/>
          <w:szCs w:val="28"/>
        </w:rPr>
        <w:t xml:space="preserve">no dunque essere dotati di </w:t>
      </w:r>
      <w:r w:rsidR="00DC2A17" w:rsidRPr="008F4224">
        <w:rPr>
          <w:sz w:val="28"/>
          <w:szCs w:val="28"/>
        </w:rPr>
        <w:t xml:space="preserve">apparecchi </w:t>
      </w:r>
      <w:r w:rsidR="000A1B18">
        <w:rPr>
          <w:sz w:val="28"/>
          <w:szCs w:val="28"/>
        </w:rPr>
        <w:t>idonei a</w:t>
      </w:r>
      <w:r w:rsidR="00DC2A17" w:rsidRPr="008F4224">
        <w:rPr>
          <w:sz w:val="28"/>
          <w:szCs w:val="28"/>
        </w:rPr>
        <w:t xml:space="preserve"> monitorare il consumo </w:t>
      </w:r>
      <w:r w:rsidR="00DC2A17" w:rsidRPr="008F4224">
        <w:rPr>
          <w:sz w:val="28"/>
          <w:szCs w:val="28"/>
        </w:rPr>
        <w:lastRenderedPageBreak/>
        <w:t>energetico per il riscaldamento inve</w:t>
      </w:r>
      <w:r>
        <w:rPr>
          <w:sz w:val="28"/>
          <w:szCs w:val="28"/>
        </w:rPr>
        <w:t xml:space="preserve">rnale </w:t>
      </w:r>
      <w:r w:rsidR="00DC2A17" w:rsidRPr="008F4224">
        <w:rPr>
          <w:sz w:val="28"/>
          <w:szCs w:val="28"/>
        </w:rPr>
        <w:t xml:space="preserve">e </w:t>
      </w:r>
      <w:r w:rsidR="000A1B18">
        <w:rPr>
          <w:sz w:val="28"/>
          <w:szCs w:val="28"/>
        </w:rPr>
        <w:t xml:space="preserve">per </w:t>
      </w:r>
      <w:r w:rsidR="00446FDD">
        <w:rPr>
          <w:sz w:val="28"/>
          <w:szCs w:val="28"/>
        </w:rPr>
        <w:t>la produzione dell’</w:t>
      </w:r>
      <w:r w:rsidR="00DC2A17" w:rsidRPr="008F4224">
        <w:rPr>
          <w:sz w:val="28"/>
          <w:szCs w:val="28"/>
        </w:rPr>
        <w:t>acqua calda sanitaria.</w:t>
      </w:r>
    </w:p>
    <w:p w:rsidR="00247A59" w:rsidRDefault="00DC2A17" w:rsidP="00247A59">
      <w:pPr>
        <w:spacing w:line="408" w:lineRule="auto"/>
        <w:jc w:val="both"/>
        <w:rPr>
          <w:sz w:val="28"/>
          <w:szCs w:val="28"/>
        </w:rPr>
      </w:pPr>
      <w:r w:rsidRPr="008F4224">
        <w:rPr>
          <w:sz w:val="28"/>
          <w:szCs w:val="28"/>
        </w:rPr>
        <w:t xml:space="preserve">Il decreto di recepimento della direttiva </w:t>
      </w:r>
      <w:r w:rsidR="001E109D">
        <w:rPr>
          <w:sz w:val="28"/>
          <w:szCs w:val="28"/>
        </w:rPr>
        <w:t xml:space="preserve">europea </w:t>
      </w:r>
      <w:r w:rsidRPr="008F4224">
        <w:rPr>
          <w:sz w:val="28"/>
          <w:szCs w:val="28"/>
        </w:rPr>
        <w:t xml:space="preserve">sull’efficienza energetica specifica che, a seguito dell’installazione dei dispositivi per la contabilizzazione del calore, le spese </w:t>
      </w:r>
      <w:r w:rsidR="000A1B18">
        <w:rPr>
          <w:sz w:val="28"/>
          <w:szCs w:val="28"/>
        </w:rPr>
        <w:t xml:space="preserve">– </w:t>
      </w:r>
      <w:r w:rsidR="00D840A1" w:rsidRPr="00990CFC">
        <w:rPr>
          <w:b/>
          <w:sz w:val="28"/>
          <w:szCs w:val="28"/>
        </w:rPr>
        <w:t>anche in deroga alle previsioni contenute in un regolamento di natura contrattuale</w:t>
      </w:r>
      <w:r w:rsidR="00D840A1">
        <w:rPr>
          <w:sz w:val="28"/>
          <w:szCs w:val="28"/>
        </w:rPr>
        <w:t xml:space="preserve"> </w:t>
      </w:r>
      <w:r w:rsidR="00247A59">
        <w:rPr>
          <w:sz w:val="28"/>
          <w:szCs w:val="28"/>
        </w:rPr>
        <w:t>–</w:t>
      </w:r>
      <w:r w:rsidR="00D840A1">
        <w:rPr>
          <w:sz w:val="28"/>
          <w:szCs w:val="28"/>
        </w:rPr>
        <w:t xml:space="preserve"> </w:t>
      </w:r>
      <w:r w:rsidR="00247A59">
        <w:rPr>
          <w:sz w:val="28"/>
          <w:szCs w:val="28"/>
        </w:rPr>
        <w:t>dovranno essere</w:t>
      </w:r>
      <w:r w:rsidRPr="008F4224">
        <w:rPr>
          <w:sz w:val="28"/>
          <w:szCs w:val="28"/>
        </w:rPr>
        <w:t xml:space="preserve"> ripartite in base ai </w:t>
      </w:r>
      <w:r w:rsidRPr="00446FDD">
        <w:rPr>
          <w:b/>
          <w:sz w:val="28"/>
          <w:szCs w:val="28"/>
        </w:rPr>
        <w:t>consumi individuali</w:t>
      </w:r>
      <w:r w:rsidRPr="008F4224">
        <w:rPr>
          <w:sz w:val="28"/>
          <w:szCs w:val="28"/>
        </w:rPr>
        <w:t xml:space="preserve"> e ai </w:t>
      </w:r>
      <w:r w:rsidRPr="00446FDD">
        <w:rPr>
          <w:b/>
          <w:sz w:val="28"/>
          <w:szCs w:val="28"/>
        </w:rPr>
        <w:t>costi fissi</w:t>
      </w:r>
      <w:r w:rsidR="00247A59">
        <w:rPr>
          <w:sz w:val="28"/>
          <w:szCs w:val="28"/>
        </w:rPr>
        <w:t>,</w:t>
      </w:r>
      <w:r w:rsidRPr="008F4224">
        <w:rPr>
          <w:sz w:val="28"/>
          <w:szCs w:val="28"/>
        </w:rPr>
        <w:t xml:space="preserve"> secondo quanto stabilito dalla norma tecnica UNI 10200.</w:t>
      </w:r>
    </w:p>
    <w:p w:rsidR="00247A59" w:rsidRDefault="00247A59" w:rsidP="00247A5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primo caso si tratta della c.d. </w:t>
      </w:r>
      <w:r w:rsidRPr="00E4117E">
        <w:rPr>
          <w:b/>
          <w:bCs/>
          <w:sz w:val="28"/>
          <w:szCs w:val="28"/>
        </w:rPr>
        <w:t>quota variabile</w:t>
      </w:r>
      <w:r>
        <w:rPr>
          <w:sz w:val="28"/>
          <w:szCs w:val="28"/>
        </w:rPr>
        <w:t>, che</w:t>
      </w:r>
      <w:r w:rsidRPr="00E4117E">
        <w:rPr>
          <w:sz w:val="28"/>
          <w:szCs w:val="28"/>
        </w:rPr>
        <w:t xml:space="preserve"> si basa sul consumo volontario</w:t>
      </w:r>
      <w:r>
        <w:rPr>
          <w:sz w:val="28"/>
          <w:szCs w:val="28"/>
        </w:rPr>
        <w:t xml:space="preserve"> rilevato</w:t>
      </w:r>
      <w:r w:rsidRPr="00E4117E">
        <w:rPr>
          <w:sz w:val="28"/>
          <w:szCs w:val="28"/>
        </w:rPr>
        <w:t xml:space="preserve"> dai contatori di calore</w:t>
      </w:r>
      <w:r>
        <w:rPr>
          <w:sz w:val="28"/>
          <w:szCs w:val="28"/>
        </w:rPr>
        <w:t>.</w:t>
      </w:r>
    </w:p>
    <w:p w:rsidR="00DC2A17" w:rsidRPr="008F4224" w:rsidRDefault="00247A59" w:rsidP="00247A5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secondo della c.d. </w:t>
      </w:r>
      <w:r w:rsidRPr="0046638F">
        <w:rPr>
          <w:b/>
          <w:sz w:val="28"/>
          <w:szCs w:val="28"/>
        </w:rPr>
        <w:t>quota fissa</w:t>
      </w:r>
      <w:r>
        <w:rPr>
          <w:sz w:val="28"/>
          <w:szCs w:val="28"/>
        </w:rPr>
        <w:t>, che si basa sui costi di gestione dell’impianto e sulle n</w:t>
      </w:r>
      <w:r w:rsidR="00990CFC">
        <w:rPr>
          <w:sz w:val="28"/>
          <w:szCs w:val="28"/>
        </w:rPr>
        <w:t>ormali perdite di distribuzione e che dovrà essere calcolata da un tecnico in base ai parametri prescritti dalla legge</w:t>
      </w:r>
      <w:r w:rsidR="00C9179C">
        <w:rPr>
          <w:sz w:val="28"/>
          <w:szCs w:val="28"/>
        </w:rPr>
        <w:t>.</w:t>
      </w:r>
      <w:r w:rsidR="00990CFC">
        <w:rPr>
          <w:sz w:val="28"/>
          <w:szCs w:val="28"/>
        </w:rPr>
        <w:t xml:space="preserve"> </w:t>
      </w:r>
    </w:p>
    <w:p w:rsidR="0046638F" w:rsidRDefault="00DC2A17" w:rsidP="00566C49">
      <w:pPr>
        <w:spacing w:line="408" w:lineRule="auto"/>
        <w:jc w:val="both"/>
        <w:rPr>
          <w:rFonts w:ascii="Trebuchet MS" w:hAnsi="Trebuchet MS"/>
          <w:color w:val="969696"/>
          <w:sz w:val="20"/>
          <w:szCs w:val="20"/>
          <w:shd w:val="clear" w:color="auto" w:fill="FFFFFF"/>
        </w:rPr>
      </w:pPr>
      <w:r w:rsidRPr="008F4224">
        <w:rPr>
          <w:sz w:val="28"/>
          <w:szCs w:val="28"/>
        </w:rPr>
        <w:t>La “vecchia” ripartizione dei consumi trascurava, e di fatto disincentivava, qualunque strategia di risparmio energetico intrapresa autonomamente all’interno di una unità immobiliare, poiché il risparmio non andava a beneficio del proprietario dell’unità ma veniva ripartito, così come i consumi, tra tutto il condominio in base al </w:t>
      </w:r>
      <w:hyperlink r:id="rId6" w:tgtFrame="_parent" w:history="1">
        <w:r w:rsidRPr="008F4224">
          <w:rPr>
            <w:sz w:val="28"/>
            <w:szCs w:val="28"/>
          </w:rPr>
          <w:t>calcolo dei millesimi</w:t>
        </w:r>
      </w:hyperlink>
      <w:r w:rsidR="002F728C">
        <w:rPr>
          <w:sz w:val="28"/>
          <w:szCs w:val="28"/>
        </w:rPr>
        <w:t xml:space="preserve"> (c.d. di riscaldamento).</w:t>
      </w:r>
      <w:r w:rsidR="0046638F" w:rsidRPr="0046638F">
        <w:rPr>
          <w:rFonts w:ascii="Trebuchet MS" w:hAnsi="Trebuchet MS"/>
          <w:color w:val="969696"/>
          <w:sz w:val="20"/>
          <w:szCs w:val="20"/>
          <w:shd w:val="clear" w:color="auto" w:fill="FFFFFF"/>
        </w:rPr>
        <w:t xml:space="preserve"> </w:t>
      </w:r>
    </w:p>
    <w:p w:rsidR="001047AF" w:rsidRDefault="001047AF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Tutto chiaro e apprezzabile</w:t>
      </w:r>
      <w:r w:rsidR="00AE7E97">
        <w:rPr>
          <w:sz w:val="28"/>
          <w:szCs w:val="28"/>
        </w:rPr>
        <w:t>,</w:t>
      </w:r>
      <w:r>
        <w:rPr>
          <w:sz w:val="28"/>
          <w:szCs w:val="28"/>
        </w:rPr>
        <w:t xml:space="preserve"> sino </w:t>
      </w:r>
      <w:r w:rsidR="00AE7E97">
        <w:rPr>
          <w:sz w:val="28"/>
          <w:szCs w:val="28"/>
        </w:rPr>
        <w:t xml:space="preserve">a </w:t>
      </w:r>
      <w:r>
        <w:rPr>
          <w:sz w:val="28"/>
          <w:szCs w:val="28"/>
        </w:rPr>
        <w:t>qui.</w:t>
      </w:r>
    </w:p>
    <w:p w:rsidR="001047AF" w:rsidRDefault="001047AF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è però che le prime applicazioni della norma non sempre </w:t>
      </w:r>
      <w:r w:rsidR="00223FAC">
        <w:rPr>
          <w:sz w:val="28"/>
          <w:szCs w:val="28"/>
        </w:rPr>
        <w:t xml:space="preserve">hanno </w:t>
      </w:r>
      <w:r>
        <w:rPr>
          <w:sz w:val="28"/>
          <w:szCs w:val="28"/>
        </w:rPr>
        <w:t>dato i risultati sperati.</w:t>
      </w:r>
    </w:p>
    <w:p w:rsidR="001047AF" w:rsidRDefault="001047AF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Vi è stato il caso in cui l’installazione dei contatori individuali</w:t>
      </w:r>
      <w:r w:rsidR="00DF04A3">
        <w:rPr>
          <w:sz w:val="28"/>
          <w:szCs w:val="28"/>
        </w:rPr>
        <w:t>, per usare le parole dell’</w:t>
      </w:r>
      <w:r w:rsidR="00223FAC">
        <w:rPr>
          <w:sz w:val="28"/>
          <w:szCs w:val="28"/>
        </w:rPr>
        <w:t>art. 9</w:t>
      </w:r>
      <w:r w:rsidR="00DF04A3">
        <w:rPr>
          <w:sz w:val="28"/>
          <w:szCs w:val="28"/>
        </w:rPr>
        <w:t xml:space="preserve"> suddetto, </w:t>
      </w:r>
      <w:r w:rsidR="00223FAC">
        <w:rPr>
          <w:sz w:val="28"/>
          <w:szCs w:val="28"/>
        </w:rPr>
        <w:t xml:space="preserve">comma 5 </w:t>
      </w:r>
      <w:r w:rsidR="00DF04A3">
        <w:rPr>
          <w:sz w:val="28"/>
          <w:szCs w:val="28"/>
        </w:rPr>
        <w:t>lettera c)</w:t>
      </w:r>
      <w:r w:rsidR="00223FAC">
        <w:rPr>
          <w:sz w:val="28"/>
          <w:szCs w:val="28"/>
        </w:rPr>
        <w:t>,</w:t>
      </w:r>
      <w:r w:rsidR="00DF04A3">
        <w:rPr>
          <w:sz w:val="28"/>
          <w:szCs w:val="28"/>
        </w:rPr>
        <w:t xml:space="preserve"> </w:t>
      </w:r>
      <w:r w:rsidR="00AE7E97">
        <w:rPr>
          <w:sz w:val="28"/>
          <w:szCs w:val="28"/>
        </w:rPr>
        <w:t xml:space="preserve">è risultata </w:t>
      </w:r>
      <w:r w:rsidR="00DF04A3">
        <w:rPr>
          <w:sz w:val="28"/>
          <w:szCs w:val="28"/>
        </w:rPr>
        <w:t>“</w:t>
      </w:r>
      <w:r w:rsidR="00DF04A3">
        <w:rPr>
          <w:b/>
          <w:i/>
          <w:sz w:val="28"/>
          <w:szCs w:val="28"/>
        </w:rPr>
        <w:t xml:space="preserve">non </w:t>
      </w:r>
      <w:r w:rsidR="00DF04A3" w:rsidRPr="001047AF">
        <w:rPr>
          <w:b/>
          <w:i/>
          <w:sz w:val="28"/>
          <w:szCs w:val="28"/>
        </w:rPr>
        <w:t>efficiente in termini di costi</w:t>
      </w:r>
      <w:r w:rsidR="00DF04A3" w:rsidRPr="00DF04A3">
        <w:rPr>
          <w:sz w:val="28"/>
          <w:szCs w:val="28"/>
        </w:rPr>
        <w:t>”</w:t>
      </w:r>
      <w:r w:rsidR="00DF04A3">
        <w:rPr>
          <w:sz w:val="28"/>
          <w:szCs w:val="28"/>
        </w:rPr>
        <w:t>.</w:t>
      </w:r>
    </w:p>
    <w:p w:rsidR="00DF04A3" w:rsidRDefault="007C70AF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Giusto </w:t>
      </w:r>
      <w:r w:rsidR="00DF04A3">
        <w:rPr>
          <w:sz w:val="28"/>
          <w:szCs w:val="28"/>
        </w:rPr>
        <w:t xml:space="preserve">pertanto </w:t>
      </w:r>
      <w:r>
        <w:rPr>
          <w:sz w:val="28"/>
          <w:szCs w:val="28"/>
        </w:rPr>
        <w:t>deliberare l’installazione</w:t>
      </w:r>
      <w:r w:rsidR="00DF04A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DF04A3">
        <w:rPr>
          <w:sz w:val="28"/>
          <w:szCs w:val="28"/>
        </w:rPr>
        <w:t xml:space="preserve">i contatori individuali, ma dopo un approfondito esame </w:t>
      </w:r>
      <w:r w:rsidR="00AE7E97">
        <w:rPr>
          <w:sz w:val="28"/>
          <w:szCs w:val="28"/>
        </w:rPr>
        <w:t>da parte dei tecnici specializzati</w:t>
      </w:r>
      <w:r w:rsidR="006F7025">
        <w:rPr>
          <w:sz w:val="28"/>
          <w:szCs w:val="28"/>
        </w:rPr>
        <w:t>, per l’appunto,</w:t>
      </w:r>
      <w:r w:rsidR="00AE7E97">
        <w:rPr>
          <w:sz w:val="28"/>
          <w:szCs w:val="28"/>
        </w:rPr>
        <w:t xml:space="preserve"> </w:t>
      </w:r>
      <w:r w:rsidR="0025409D">
        <w:rPr>
          <w:sz w:val="28"/>
          <w:szCs w:val="28"/>
        </w:rPr>
        <w:t>della</w:t>
      </w:r>
      <w:r w:rsidR="00DF04A3">
        <w:rPr>
          <w:sz w:val="28"/>
          <w:szCs w:val="28"/>
        </w:rPr>
        <w:t xml:space="preserve"> </w:t>
      </w:r>
      <w:r w:rsidR="0025409D">
        <w:rPr>
          <w:sz w:val="28"/>
          <w:szCs w:val="28"/>
        </w:rPr>
        <w:t>convenienza</w:t>
      </w:r>
      <w:r w:rsidR="00AE7E97">
        <w:rPr>
          <w:sz w:val="28"/>
          <w:szCs w:val="28"/>
        </w:rPr>
        <w:t xml:space="preserve"> e delle </w:t>
      </w:r>
      <w:r w:rsidR="00A960FC">
        <w:rPr>
          <w:sz w:val="28"/>
          <w:szCs w:val="28"/>
        </w:rPr>
        <w:t xml:space="preserve">conseguenze di tale intervento, con particolare riferimento </w:t>
      </w:r>
      <w:r w:rsidR="006F7025">
        <w:rPr>
          <w:sz w:val="28"/>
          <w:szCs w:val="28"/>
        </w:rPr>
        <w:t xml:space="preserve">alla </w:t>
      </w:r>
      <w:r w:rsidR="00A960FC">
        <w:rPr>
          <w:sz w:val="28"/>
          <w:szCs w:val="28"/>
        </w:rPr>
        <w:t xml:space="preserve">previsione normativa secondo la quale </w:t>
      </w:r>
      <w:r w:rsidR="006F7025">
        <w:rPr>
          <w:sz w:val="28"/>
          <w:szCs w:val="28"/>
        </w:rPr>
        <w:t>se l’intervento</w:t>
      </w:r>
      <w:r w:rsidR="00C9179C">
        <w:rPr>
          <w:sz w:val="28"/>
          <w:szCs w:val="28"/>
        </w:rPr>
        <w:t xml:space="preserve"> </w:t>
      </w:r>
      <w:r w:rsidR="00DF04A3">
        <w:rPr>
          <w:sz w:val="28"/>
          <w:szCs w:val="28"/>
        </w:rPr>
        <w:t xml:space="preserve">dovesse risultare </w:t>
      </w:r>
      <w:r w:rsidR="00CB0993" w:rsidRPr="006F7025">
        <w:rPr>
          <w:sz w:val="28"/>
          <w:szCs w:val="28"/>
        </w:rPr>
        <w:t>“</w:t>
      </w:r>
      <w:r w:rsidR="00C9179C" w:rsidRPr="006F7025">
        <w:rPr>
          <w:sz w:val="28"/>
          <w:szCs w:val="28"/>
        </w:rPr>
        <w:t xml:space="preserve">non </w:t>
      </w:r>
      <w:r w:rsidR="00CB0993" w:rsidRPr="006F7025">
        <w:rPr>
          <w:i/>
          <w:sz w:val="28"/>
          <w:szCs w:val="28"/>
        </w:rPr>
        <w:t>efficiente in termini di costi</w:t>
      </w:r>
      <w:r w:rsidR="00CB0993" w:rsidRPr="006F7025">
        <w:rPr>
          <w:sz w:val="28"/>
          <w:szCs w:val="28"/>
        </w:rPr>
        <w:t>”</w:t>
      </w:r>
      <w:r w:rsidR="00CB0993">
        <w:rPr>
          <w:sz w:val="28"/>
          <w:szCs w:val="28"/>
        </w:rPr>
        <w:t xml:space="preserve"> l’obbligo </w:t>
      </w:r>
      <w:r w:rsidR="00191CD7">
        <w:rPr>
          <w:sz w:val="28"/>
          <w:szCs w:val="28"/>
        </w:rPr>
        <w:t xml:space="preserve">della contabilizzazione </w:t>
      </w:r>
      <w:r w:rsidR="006F7025">
        <w:rPr>
          <w:sz w:val="28"/>
          <w:szCs w:val="28"/>
        </w:rPr>
        <w:t>viene</w:t>
      </w:r>
      <w:r w:rsidR="00CB0993">
        <w:rPr>
          <w:sz w:val="28"/>
          <w:szCs w:val="28"/>
        </w:rPr>
        <w:t xml:space="preserve"> meno</w:t>
      </w:r>
      <w:r w:rsidR="00A960FC">
        <w:rPr>
          <w:sz w:val="28"/>
          <w:szCs w:val="28"/>
        </w:rPr>
        <w:t xml:space="preserve"> e dovranno essere</w:t>
      </w:r>
      <w:r>
        <w:rPr>
          <w:sz w:val="28"/>
          <w:szCs w:val="28"/>
        </w:rPr>
        <w:t xml:space="preserve"> ricercate soluzioni alternative.</w:t>
      </w:r>
    </w:p>
    <w:p w:rsidR="005A38A7" w:rsidRDefault="00340BAB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Sono poi sorte problematiche rela</w:t>
      </w:r>
      <w:r w:rsidR="006F7025">
        <w:rPr>
          <w:sz w:val="28"/>
          <w:szCs w:val="28"/>
        </w:rPr>
        <w:t>tive alla ripartizione delle spese di riscaldamento</w:t>
      </w:r>
      <w:r>
        <w:rPr>
          <w:sz w:val="28"/>
          <w:szCs w:val="28"/>
        </w:rPr>
        <w:t xml:space="preserve"> secondo la tabella redatta ai sensi del</w:t>
      </w:r>
      <w:r w:rsidRPr="006F7025">
        <w:rPr>
          <w:b/>
          <w:sz w:val="28"/>
          <w:szCs w:val="28"/>
        </w:rPr>
        <w:t xml:space="preserve">la </w:t>
      </w:r>
      <w:r w:rsidR="005A38A7" w:rsidRPr="006F7025">
        <w:rPr>
          <w:b/>
          <w:sz w:val="28"/>
          <w:szCs w:val="28"/>
        </w:rPr>
        <w:t>norma UNI 10200</w:t>
      </w:r>
      <w:r>
        <w:rPr>
          <w:sz w:val="28"/>
          <w:szCs w:val="28"/>
        </w:rPr>
        <w:t xml:space="preserve">, tanto che quest’ultima </w:t>
      </w:r>
      <w:r w:rsidR="006F7025">
        <w:rPr>
          <w:sz w:val="28"/>
          <w:szCs w:val="28"/>
        </w:rPr>
        <w:t xml:space="preserve">norma </w:t>
      </w:r>
      <w:r w:rsidRPr="006F7025">
        <w:rPr>
          <w:b/>
          <w:sz w:val="28"/>
          <w:szCs w:val="28"/>
        </w:rPr>
        <w:t xml:space="preserve">sta per essere </w:t>
      </w:r>
      <w:r w:rsidR="005A38A7" w:rsidRPr="006F7025">
        <w:rPr>
          <w:b/>
          <w:sz w:val="28"/>
          <w:szCs w:val="28"/>
        </w:rPr>
        <w:t>modificata</w:t>
      </w:r>
      <w:r w:rsidR="006F7025">
        <w:rPr>
          <w:sz w:val="28"/>
          <w:szCs w:val="28"/>
        </w:rPr>
        <w:t xml:space="preserve">, con la conseguenza </w:t>
      </w:r>
      <w:r w:rsidR="005A38A7">
        <w:rPr>
          <w:sz w:val="28"/>
          <w:szCs w:val="28"/>
        </w:rPr>
        <w:t xml:space="preserve">che prima di dare incarico al tecnico che rediga la nuova tabella </w:t>
      </w:r>
      <w:r w:rsidR="006F7025">
        <w:rPr>
          <w:sz w:val="28"/>
          <w:szCs w:val="28"/>
        </w:rPr>
        <w:t xml:space="preserve">di riscaldamento </w:t>
      </w:r>
      <w:r w:rsidR="005A38A7">
        <w:rPr>
          <w:sz w:val="28"/>
          <w:szCs w:val="28"/>
        </w:rPr>
        <w:t xml:space="preserve">converrà aspettare che tali modifiche siano state apportate ed entrino in vigore: ciò anche al fine di non spendere </w:t>
      </w:r>
      <w:r w:rsidR="006F7025">
        <w:rPr>
          <w:sz w:val="28"/>
          <w:szCs w:val="28"/>
        </w:rPr>
        <w:t xml:space="preserve">inutilmente dei </w:t>
      </w:r>
      <w:r w:rsidR="005A38A7">
        <w:rPr>
          <w:sz w:val="28"/>
          <w:szCs w:val="28"/>
        </w:rPr>
        <w:t xml:space="preserve">soldi per una tabella </w:t>
      </w:r>
      <w:r>
        <w:rPr>
          <w:sz w:val="28"/>
          <w:szCs w:val="28"/>
        </w:rPr>
        <w:t xml:space="preserve">che di fatto potrebbe essere </w:t>
      </w:r>
      <w:r w:rsidR="006F7025">
        <w:rPr>
          <w:sz w:val="28"/>
          <w:szCs w:val="28"/>
        </w:rPr>
        <w:t>già superata subito dopo essere stata redatta.</w:t>
      </w:r>
    </w:p>
    <w:p w:rsidR="00340BAB" w:rsidRDefault="00340BAB" w:rsidP="005A38A7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A38A7">
        <w:rPr>
          <w:sz w:val="28"/>
          <w:szCs w:val="28"/>
        </w:rPr>
        <w:t>l Comitato Termotecnico Italiano ha</w:t>
      </w:r>
      <w:r w:rsidR="005A38A7" w:rsidRPr="005A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infatti </w:t>
      </w:r>
      <w:r w:rsidR="005A38A7" w:rsidRPr="005A38A7">
        <w:rPr>
          <w:sz w:val="28"/>
          <w:szCs w:val="28"/>
        </w:rPr>
        <w:t>avviato i lavori di revisione della UNI 10200, preparando la bozza di un nuovo testo che</w:t>
      </w:r>
      <w:r>
        <w:rPr>
          <w:sz w:val="28"/>
          <w:szCs w:val="28"/>
        </w:rPr>
        <w:t xml:space="preserve"> è rimasto in “</w:t>
      </w:r>
      <w:r w:rsidR="006F7025">
        <w:rPr>
          <w:sz w:val="28"/>
          <w:szCs w:val="28"/>
        </w:rPr>
        <w:t>inchiesta pubblica</w:t>
      </w:r>
      <w:r>
        <w:rPr>
          <w:sz w:val="28"/>
          <w:szCs w:val="28"/>
        </w:rPr>
        <w:t>” (il che significa che ciascuno poteva proporre delle modifiche) sino allo scorso 13/6/2016.</w:t>
      </w:r>
    </w:p>
    <w:p w:rsidR="005A38A7" w:rsidRPr="005A38A7" w:rsidRDefault="00340BAB" w:rsidP="005A38A7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progetto della nuova</w:t>
      </w:r>
      <w:r w:rsidR="005A38A7" w:rsidRPr="005A38A7">
        <w:rPr>
          <w:sz w:val="28"/>
          <w:szCs w:val="28"/>
        </w:rPr>
        <w:t xml:space="preserve"> norma è il E0208F600, intitolato “</w:t>
      </w:r>
      <w:r w:rsidR="005A38A7" w:rsidRPr="005A38A7">
        <w:rPr>
          <w:i/>
          <w:sz w:val="28"/>
          <w:szCs w:val="28"/>
        </w:rPr>
        <w:t>Impianti termici centralizzati di climatizzazione invernale, estiva e produzione di acqua calda sanitaria – criteri di ripartizione delle spese di climatizzazione invernale, estiva e produzione di acqua calda sanitaria</w:t>
      </w:r>
      <w:r w:rsidR="005A38A7" w:rsidRPr="005A38A7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5A38A7" w:rsidRPr="005A38A7">
        <w:rPr>
          <w:sz w:val="28"/>
          <w:szCs w:val="28"/>
        </w:rPr>
        <w:t> </w:t>
      </w:r>
    </w:p>
    <w:p w:rsidR="006F7025" w:rsidRDefault="005A38A7" w:rsidP="005A38A7">
      <w:pPr>
        <w:spacing w:line="408" w:lineRule="auto"/>
        <w:jc w:val="both"/>
        <w:rPr>
          <w:sz w:val="28"/>
          <w:szCs w:val="28"/>
        </w:rPr>
      </w:pPr>
      <w:r w:rsidRPr="005A38A7">
        <w:rPr>
          <w:sz w:val="28"/>
          <w:szCs w:val="28"/>
        </w:rPr>
        <w:t xml:space="preserve">La nuova versione del documento, così come attualmente proposta, non muta di fatto il meccanismo di calcolo basato sui millesimi di fabbisogno </w:t>
      </w:r>
      <w:r w:rsidRPr="005A38A7">
        <w:rPr>
          <w:sz w:val="28"/>
          <w:szCs w:val="28"/>
        </w:rPr>
        <w:lastRenderedPageBreak/>
        <w:t xml:space="preserve">energetico delle singole unità immobiliari, ma interviene sulle parti che non erano state chiarite dalla precedente revisione. </w:t>
      </w:r>
    </w:p>
    <w:p w:rsidR="006F7025" w:rsidRDefault="006F7025" w:rsidP="005A38A7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Importantissima</w:t>
      </w:r>
      <w:r w:rsidR="005A38A7" w:rsidRPr="005A38A7">
        <w:rPr>
          <w:sz w:val="28"/>
          <w:szCs w:val="28"/>
        </w:rPr>
        <w:t xml:space="preserve">, per esempio, </w:t>
      </w:r>
      <w:r>
        <w:rPr>
          <w:sz w:val="28"/>
          <w:szCs w:val="28"/>
        </w:rPr>
        <w:t xml:space="preserve">è </w:t>
      </w:r>
      <w:r w:rsidR="005A38A7" w:rsidRPr="005A38A7">
        <w:rPr>
          <w:sz w:val="28"/>
          <w:szCs w:val="28"/>
        </w:rPr>
        <w:t>la modifica relativa alla gestione delle case a basso tasso di occupazione</w:t>
      </w:r>
      <w:r w:rsidR="005A38A7">
        <w:rPr>
          <w:sz w:val="28"/>
          <w:szCs w:val="28"/>
        </w:rPr>
        <w:t xml:space="preserve"> (c.d. seconde case)</w:t>
      </w:r>
      <w:r w:rsidR="005A38A7" w:rsidRPr="005A38A7">
        <w:rPr>
          <w:sz w:val="28"/>
          <w:szCs w:val="28"/>
        </w:rPr>
        <w:t xml:space="preserve">, che, ad oggi, hanno creato e continuano a creare un’infinità di problemi. </w:t>
      </w:r>
    </w:p>
    <w:p w:rsidR="005A38A7" w:rsidRPr="005A38A7" w:rsidRDefault="005A38A7" w:rsidP="005A38A7">
      <w:pPr>
        <w:spacing w:line="408" w:lineRule="auto"/>
        <w:jc w:val="both"/>
        <w:rPr>
          <w:sz w:val="28"/>
          <w:szCs w:val="28"/>
        </w:rPr>
      </w:pPr>
      <w:r w:rsidRPr="005A38A7">
        <w:rPr>
          <w:sz w:val="28"/>
          <w:szCs w:val="28"/>
        </w:rPr>
        <w:t>Nell’ottica di risolvere la questione, viene quindi introdotto un “fattore d’uso”, utile a distinguere i condomini con questa peculiarità, ed un metodo di calcolo dedicato.</w:t>
      </w:r>
    </w:p>
    <w:p w:rsidR="00340BAB" w:rsidRDefault="005A38A7" w:rsidP="005A38A7">
      <w:pPr>
        <w:spacing w:line="408" w:lineRule="auto"/>
        <w:jc w:val="both"/>
        <w:rPr>
          <w:sz w:val="28"/>
          <w:szCs w:val="28"/>
        </w:rPr>
      </w:pPr>
      <w:r w:rsidRPr="005A38A7">
        <w:rPr>
          <w:sz w:val="28"/>
          <w:szCs w:val="28"/>
        </w:rPr>
        <w:t xml:space="preserve">Si forniscono poi indicazioni in merito all’assenza </w:t>
      </w:r>
      <w:r w:rsidR="00340BAB">
        <w:rPr>
          <w:sz w:val="28"/>
          <w:szCs w:val="28"/>
        </w:rPr>
        <w:t xml:space="preserve">di contabilizzazione </w:t>
      </w:r>
      <w:r w:rsidRPr="005A38A7">
        <w:rPr>
          <w:sz w:val="28"/>
          <w:szCs w:val="28"/>
        </w:rPr>
        <w:t>ed ai locali ad uso collettivo, mentre vengono fat</w:t>
      </w:r>
      <w:r w:rsidR="00835ED7">
        <w:rPr>
          <w:sz w:val="28"/>
          <w:szCs w:val="28"/>
        </w:rPr>
        <w:t>te alcune precisazioni in relazione</w:t>
      </w:r>
      <w:r w:rsidRPr="005A38A7">
        <w:rPr>
          <w:sz w:val="28"/>
          <w:szCs w:val="28"/>
        </w:rPr>
        <w:t xml:space="preserve"> a casi particolari, quali le tubazioni di pertinenza dell’alloggio (consumo cosiddetto “obbligato”) ed i </w:t>
      </w:r>
      <w:proofErr w:type="spellStart"/>
      <w:r w:rsidRPr="005A38A7">
        <w:rPr>
          <w:sz w:val="28"/>
          <w:szCs w:val="28"/>
        </w:rPr>
        <w:t>supercondomini</w:t>
      </w:r>
      <w:proofErr w:type="spellEnd"/>
      <w:r w:rsidRPr="005A38A7">
        <w:rPr>
          <w:sz w:val="28"/>
          <w:szCs w:val="28"/>
        </w:rPr>
        <w:t xml:space="preserve"> (ripartizione della rete comune). </w:t>
      </w:r>
    </w:p>
    <w:p w:rsidR="00340BAB" w:rsidRDefault="00340BAB" w:rsidP="00340BAB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Ol</w:t>
      </w:r>
      <w:r w:rsidR="006F7025">
        <w:rPr>
          <w:sz w:val="28"/>
          <w:szCs w:val="28"/>
        </w:rPr>
        <w:t>tre a quelli relativi alle</w:t>
      </w:r>
      <w:r>
        <w:rPr>
          <w:sz w:val="28"/>
          <w:szCs w:val="28"/>
        </w:rPr>
        <w:t xml:space="preserve"> seconde case, </w:t>
      </w:r>
      <w:r w:rsidR="006F7025">
        <w:rPr>
          <w:sz w:val="28"/>
          <w:szCs w:val="28"/>
        </w:rPr>
        <w:t xml:space="preserve">sono auspicabili </w:t>
      </w:r>
      <w:r>
        <w:rPr>
          <w:sz w:val="28"/>
          <w:szCs w:val="28"/>
        </w:rPr>
        <w:t xml:space="preserve">adattamenti anche per le </w:t>
      </w:r>
      <w:r>
        <w:rPr>
          <w:sz w:val="28"/>
          <w:szCs w:val="28"/>
        </w:rPr>
        <w:t xml:space="preserve">unità abitative poste all’ultimo piano degli edifici costruiti prima del 1991, quando ancora non era obbligatoria la coibentazione del </w:t>
      </w:r>
      <w:r w:rsidR="006F7025">
        <w:rPr>
          <w:sz w:val="28"/>
          <w:szCs w:val="28"/>
        </w:rPr>
        <w:t>tetto e del lastrico solare: unità abitative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>
        <w:rPr>
          <w:sz w:val="28"/>
          <w:szCs w:val="28"/>
        </w:rPr>
        <w:t>richiedono molto più calore delle altre per mantenere una temperatura confortevole.</w:t>
      </w:r>
    </w:p>
    <w:p w:rsidR="00340BAB" w:rsidRDefault="00340BAB" w:rsidP="00340BAB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questi casi, dovendosi applicare la regola del consumo effettivo</w:t>
      </w:r>
      <w:r w:rsidRPr="0025409D">
        <w:rPr>
          <w:sz w:val="28"/>
          <w:szCs w:val="28"/>
        </w:rPr>
        <w:t xml:space="preserve"> </w:t>
      </w:r>
      <w:r>
        <w:rPr>
          <w:sz w:val="28"/>
          <w:szCs w:val="28"/>
        </w:rPr>
        <w:t>anziché</w:t>
      </w:r>
      <w:r w:rsidR="006F7025">
        <w:rPr>
          <w:sz w:val="28"/>
          <w:szCs w:val="28"/>
        </w:rPr>
        <w:t>, come sino ad ora,</w:t>
      </w:r>
      <w:r>
        <w:rPr>
          <w:sz w:val="28"/>
          <w:szCs w:val="28"/>
        </w:rPr>
        <w:t xml:space="preserve"> quella delle superfici radianti </w:t>
      </w:r>
      <w:r>
        <w:rPr>
          <w:sz w:val="28"/>
          <w:szCs w:val="28"/>
        </w:rPr>
        <w:t>(</w:t>
      </w:r>
      <w:r>
        <w:rPr>
          <w:sz w:val="28"/>
          <w:szCs w:val="28"/>
        </w:rPr>
        <w:t>o</w:t>
      </w:r>
      <w:r w:rsidR="00835ED7">
        <w:rPr>
          <w:sz w:val="28"/>
          <w:szCs w:val="28"/>
        </w:rPr>
        <w:t>d</w:t>
      </w:r>
      <w:r>
        <w:rPr>
          <w:sz w:val="28"/>
          <w:szCs w:val="28"/>
        </w:rPr>
        <w:t xml:space="preserve"> altre ancora più attente e favorevoli </w:t>
      </w:r>
      <w:r w:rsidR="006F7025">
        <w:rPr>
          <w:sz w:val="28"/>
          <w:szCs w:val="28"/>
        </w:rPr>
        <w:t xml:space="preserve">per gli ultimi piani </w:t>
      </w:r>
      <w:r>
        <w:rPr>
          <w:sz w:val="28"/>
          <w:szCs w:val="28"/>
        </w:rPr>
        <w:t>contenute nei</w:t>
      </w:r>
      <w:r>
        <w:rPr>
          <w:sz w:val="28"/>
          <w:szCs w:val="28"/>
        </w:rPr>
        <w:t xml:space="preserve"> vari regolamenti di condominio),</w:t>
      </w:r>
      <w:r>
        <w:rPr>
          <w:sz w:val="28"/>
          <w:szCs w:val="28"/>
        </w:rPr>
        <w:t xml:space="preserve"> i proprietari d</w:t>
      </w:r>
      <w:r w:rsidR="006F7025">
        <w:rPr>
          <w:sz w:val="28"/>
          <w:szCs w:val="28"/>
        </w:rPr>
        <w:t xml:space="preserve">i questi ultimi </w:t>
      </w:r>
      <w:r>
        <w:rPr>
          <w:sz w:val="28"/>
          <w:szCs w:val="28"/>
        </w:rPr>
        <w:t>potrebbero finire p</w:t>
      </w:r>
      <w:r w:rsidR="00835ED7">
        <w:rPr>
          <w:sz w:val="28"/>
          <w:szCs w:val="28"/>
        </w:rPr>
        <w:t>er favorire</w:t>
      </w:r>
      <w:bookmarkStart w:id="0" w:name="_GoBack"/>
      <w:bookmarkEnd w:id="0"/>
      <w:r>
        <w:rPr>
          <w:sz w:val="28"/>
          <w:szCs w:val="28"/>
        </w:rPr>
        <w:t xml:space="preserve"> a loro spese, più di quanto non abbiano già fatto finora, i proprietari degli appartamenti sottostanti.</w:t>
      </w:r>
    </w:p>
    <w:p w:rsidR="00663519" w:rsidRDefault="00226B3E" w:rsidP="008F4224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AVV. PIER PAOLO CAPPONI</w:t>
      </w:r>
    </w:p>
    <w:p w:rsidR="00D21B7D" w:rsidRDefault="00D21B7D" w:rsidP="008F4224">
      <w:pPr>
        <w:spacing w:line="408" w:lineRule="auto"/>
        <w:jc w:val="both"/>
        <w:rPr>
          <w:sz w:val="28"/>
          <w:szCs w:val="28"/>
        </w:rPr>
      </w:pPr>
    </w:p>
    <w:p w:rsidR="00D21B7D" w:rsidRPr="008F4224" w:rsidRDefault="00D21B7D" w:rsidP="008F4224">
      <w:pPr>
        <w:spacing w:line="408" w:lineRule="auto"/>
        <w:jc w:val="both"/>
        <w:rPr>
          <w:sz w:val="28"/>
          <w:szCs w:val="28"/>
        </w:rPr>
      </w:pPr>
    </w:p>
    <w:sectPr w:rsidR="00D21B7D" w:rsidRPr="008F4224" w:rsidSect="00A268F5">
      <w:pgSz w:w="11906" w:h="16838"/>
      <w:pgMar w:top="1701" w:right="2155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C"/>
    <w:rsid w:val="00060859"/>
    <w:rsid w:val="00076E71"/>
    <w:rsid w:val="000A1B18"/>
    <w:rsid w:val="000A47A6"/>
    <w:rsid w:val="000B6D35"/>
    <w:rsid w:val="000C390B"/>
    <w:rsid w:val="001047AF"/>
    <w:rsid w:val="0014094E"/>
    <w:rsid w:val="00166FF1"/>
    <w:rsid w:val="00191CD7"/>
    <w:rsid w:val="001E109D"/>
    <w:rsid w:val="001F23BD"/>
    <w:rsid w:val="001F7D6F"/>
    <w:rsid w:val="002063DC"/>
    <w:rsid w:val="00223FAC"/>
    <w:rsid w:val="00226B3E"/>
    <w:rsid w:val="00247A59"/>
    <w:rsid w:val="0025409D"/>
    <w:rsid w:val="002F728C"/>
    <w:rsid w:val="00340BAB"/>
    <w:rsid w:val="0041386E"/>
    <w:rsid w:val="00420456"/>
    <w:rsid w:val="00427589"/>
    <w:rsid w:val="00446FDD"/>
    <w:rsid w:val="0046638F"/>
    <w:rsid w:val="00521F03"/>
    <w:rsid w:val="00566C49"/>
    <w:rsid w:val="005A38A7"/>
    <w:rsid w:val="005A6AEA"/>
    <w:rsid w:val="006028F6"/>
    <w:rsid w:val="00623D58"/>
    <w:rsid w:val="00625EF8"/>
    <w:rsid w:val="0065498E"/>
    <w:rsid w:val="00663519"/>
    <w:rsid w:val="00691CE3"/>
    <w:rsid w:val="006F7025"/>
    <w:rsid w:val="00775920"/>
    <w:rsid w:val="007B11A5"/>
    <w:rsid w:val="007B4FCC"/>
    <w:rsid w:val="007C70AF"/>
    <w:rsid w:val="00812306"/>
    <w:rsid w:val="00835ED7"/>
    <w:rsid w:val="008552BF"/>
    <w:rsid w:val="008558C9"/>
    <w:rsid w:val="00876F94"/>
    <w:rsid w:val="008F4224"/>
    <w:rsid w:val="00904547"/>
    <w:rsid w:val="00915AD8"/>
    <w:rsid w:val="009703FF"/>
    <w:rsid w:val="00990CFC"/>
    <w:rsid w:val="009C326A"/>
    <w:rsid w:val="009D77E7"/>
    <w:rsid w:val="00A960FC"/>
    <w:rsid w:val="00AE4F01"/>
    <w:rsid w:val="00AE7E97"/>
    <w:rsid w:val="00B43F76"/>
    <w:rsid w:val="00B47010"/>
    <w:rsid w:val="00BB04B6"/>
    <w:rsid w:val="00C753A1"/>
    <w:rsid w:val="00C9179C"/>
    <w:rsid w:val="00C9292A"/>
    <w:rsid w:val="00CA4674"/>
    <w:rsid w:val="00CB0993"/>
    <w:rsid w:val="00CF00C4"/>
    <w:rsid w:val="00D10B69"/>
    <w:rsid w:val="00D21AEB"/>
    <w:rsid w:val="00D21B7D"/>
    <w:rsid w:val="00D840A1"/>
    <w:rsid w:val="00DA5C8C"/>
    <w:rsid w:val="00DC2A17"/>
    <w:rsid w:val="00DE29D3"/>
    <w:rsid w:val="00DF04A3"/>
    <w:rsid w:val="00DF0733"/>
    <w:rsid w:val="00E4117E"/>
    <w:rsid w:val="00E54AAB"/>
    <w:rsid w:val="00EA4BC3"/>
    <w:rsid w:val="00F037D1"/>
    <w:rsid w:val="00F26645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D2CA0"/>
  <w15:chartTrackingRefBased/>
  <w15:docId w15:val="{7CEEAA70-1622-4725-8AC7-8A07E158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D77E7"/>
    <w:rPr>
      <w:i/>
      <w:iCs/>
    </w:rPr>
  </w:style>
  <w:style w:type="character" w:customStyle="1" w:styleId="apple-converted-space">
    <w:name w:val="apple-converted-space"/>
    <w:basedOn w:val="Carpredefinitoparagrafo"/>
    <w:rsid w:val="009D77E7"/>
  </w:style>
  <w:style w:type="character" w:styleId="Enfasigrassetto">
    <w:name w:val="Strong"/>
    <w:basedOn w:val="Carpredefinitoparagrafo"/>
    <w:uiPriority w:val="22"/>
    <w:qFormat/>
    <w:rsid w:val="00DC2A1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C2A1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DC2A17"/>
    <w:rPr>
      <w:color w:val="0000FF"/>
      <w:u w:val="single"/>
    </w:rPr>
  </w:style>
  <w:style w:type="paragraph" w:customStyle="1" w:styleId="provvestremo">
    <w:name w:val="provv_estremo"/>
    <w:basedOn w:val="Normale"/>
    <w:rsid w:val="008F4224"/>
    <w:pPr>
      <w:spacing w:before="100" w:beforeAutospacing="1" w:after="100" w:afterAutospacing="1"/>
    </w:pPr>
  </w:style>
  <w:style w:type="character" w:customStyle="1" w:styleId="anchorantimarker">
    <w:name w:val="anchor_anti_marker"/>
    <w:basedOn w:val="Carpredefinitoparagrafo"/>
    <w:rsid w:val="008F4224"/>
  </w:style>
  <w:style w:type="paragraph" w:customStyle="1" w:styleId="provvr0">
    <w:name w:val="provv_r0"/>
    <w:basedOn w:val="Normale"/>
    <w:rsid w:val="008F4224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8F4224"/>
  </w:style>
  <w:style w:type="character" w:customStyle="1" w:styleId="provvrubrica">
    <w:name w:val="provv_rubrica"/>
    <w:basedOn w:val="Carpredefinitoparagrafo"/>
    <w:rsid w:val="008F4224"/>
  </w:style>
  <w:style w:type="character" w:customStyle="1" w:styleId="provvnumcomma">
    <w:name w:val="provv_numcomma"/>
    <w:basedOn w:val="Carpredefinitoparagrafo"/>
    <w:rsid w:val="008F42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7A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ointer">
    <w:name w:val="pointer"/>
    <w:basedOn w:val="Carpredefinitoparagrafo"/>
    <w:rsid w:val="00D2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tificazione-energetica-bologna.it/blog/item/tabelle-millesimali-domande-e-risposte.html" TargetMode="External"/><Relationship Id="rId5" Type="http://schemas.openxmlformats.org/officeDocument/2006/relationships/hyperlink" Target="javascript:kernel.go('bd',%7bmask:'main',opera:'07',id:'07LX0000776443',key:'07LX0000776443',%20callerTicket:%20'',%20userKey:%20'',_menu:'normativa',kind:''%7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2CED-D6CA-4B43-AA9C-48E10C8B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36</cp:revision>
  <cp:lastPrinted>2016-03-14T22:18:00Z</cp:lastPrinted>
  <dcterms:created xsi:type="dcterms:W3CDTF">2016-01-11T09:30:00Z</dcterms:created>
  <dcterms:modified xsi:type="dcterms:W3CDTF">2016-06-13T11:25:00Z</dcterms:modified>
</cp:coreProperties>
</file>